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55EB6">
      <w:pPr>
        <w:ind w:firstLine="0" w:firstLineChars="0"/>
        <w:jc w:val="center"/>
        <w:rPr>
          <w:b/>
          <w:bCs/>
          <w:sz w:val="48"/>
          <w:szCs w:val="48"/>
        </w:rPr>
      </w:pPr>
    </w:p>
    <w:p w14:paraId="3564BABB">
      <w:pPr>
        <w:ind w:firstLine="0" w:firstLineChars="0"/>
        <w:jc w:val="center"/>
        <w:rPr>
          <w:b/>
          <w:bCs/>
          <w:sz w:val="48"/>
          <w:szCs w:val="48"/>
        </w:rPr>
      </w:pPr>
    </w:p>
    <w:p w14:paraId="598A5404">
      <w:pPr>
        <w:ind w:firstLine="0" w:firstLineChars="0"/>
        <w:jc w:val="center"/>
        <w:rPr>
          <w:b/>
          <w:bCs/>
          <w:sz w:val="48"/>
          <w:szCs w:val="48"/>
        </w:rPr>
      </w:pPr>
    </w:p>
    <w:p w14:paraId="5E12AA0F">
      <w:pPr>
        <w:ind w:firstLine="0" w:firstLineChars="0"/>
        <w:jc w:val="center"/>
        <w:rPr>
          <w:b/>
          <w:bCs/>
          <w:sz w:val="48"/>
          <w:szCs w:val="48"/>
        </w:rPr>
      </w:pPr>
      <w:r>
        <w:rPr>
          <w:b/>
          <w:bCs/>
          <w:sz w:val="48"/>
          <w:szCs w:val="48"/>
        </w:rPr>
        <w:t>挥发性有机物污染防治技术指南</w:t>
      </w:r>
      <w:r>
        <w:rPr>
          <w:rFonts w:hint="eastAsia"/>
          <w:b/>
          <w:bCs/>
          <w:sz w:val="48"/>
          <w:szCs w:val="48"/>
        </w:rPr>
        <w:t>（试行）</w:t>
      </w:r>
    </w:p>
    <w:p w14:paraId="46025142">
      <w:pPr>
        <w:ind w:firstLine="0" w:firstLineChars="0"/>
        <w:jc w:val="center"/>
        <w:rPr>
          <w:b/>
          <w:bCs/>
          <w:sz w:val="48"/>
          <w:szCs w:val="48"/>
        </w:rPr>
      </w:pPr>
      <w:r>
        <w:rPr>
          <w:b/>
          <w:bCs/>
          <w:sz w:val="48"/>
          <w:szCs w:val="48"/>
        </w:rPr>
        <w:t>第2部分：有机化工行业</w:t>
      </w:r>
    </w:p>
    <w:p w14:paraId="6A1BE4ED">
      <w:pPr>
        <w:ind w:firstLine="0" w:firstLineChars="0"/>
        <w:jc w:val="center"/>
        <w:rPr>
          <w:b/>
          <w:bCs/>
          <w:sz w:val="48"/>
          <w:szCs w:val="48"/>
        </w:rPr>
      </w:pPr>
    </w:p>
    <w:p w14:paraId="57934563">
      <w:pPr>
        <w:ind w:firstLine="0" w:firstLineChars="0"/>
        <w:jc w:val="center"/>
        <w:rPr>
          <w:b/>
          <w:bCs/>
          <w:sz w:val="48"/>
          <w:szCs w:val="48"/>
        </w:rPr>
      </w:pPr>
      <w:r>
        <w:rPr>
          <w:b/>
          <w:bCs/>
          <w:sz w:val="48"/>
          <w:szCs w:val="48"/>
        </w:rPr>
        <w:t>编制说明</w:t>
      </w:r>
    </w:p>
    <w:p w14:paraId="3374482A">
      <w:pPr>
        <w:spacing w:line="300" w:lineRule="auto"/>
        <w:ind w:firstLine="0" w:firstLineChars="0"/>
        <w:jc w:val="center"/>
        <w:rPr>
          <w:b/>
          <w:sz w:val="32"/>
          <w:szCs w:val="32"/>
        </w:rPr>
      </w:pPr>
    </w:p>
    <w:p w14:paraId="586E6C47">
      <w:pPr>
        <w:spacing w:line="300" w:lineRule="auto"/>
        <w:ind w:firstLine="0" w:firstLineChars="0"/>
        <w:jc w:val="center"/>
        <w:rPr>
          <w:b/>
          <w:sz w:val="32"/>
          <w:szCs w:val="32"/>
        </w:rPr>
      </w:pPr>
    </w:p>
    <w:p w14:paraId="0D1BBF03">
      <w:pPr>
        <w:spacing w:line="300" w:lineRule="auto"/>
        <w:ind w:firstLine="0" w:firstLineChars="0"/>
        <w:jc w:val="center"/>
        <w:rPr>
          <w:b/>
          <w:sz w:val="32"/>
          <w:szCs w:val="32"/>
        </w:rPr>
      </w:pPr>
    </w:p>
    <w:p w14:paraId="710DBEC0">
      <w:pPr>
        <w:spacing w:line="300" w:lineRule="auto"/>
        <w:ind w:firstLine="0" w:firstLineChars="0"/>
        <w:jc w:val="center"/>
        <w:rPr>
          <w:b/>
          <w:sz w:val="32"/>
          <w:szCs w:val="32"/>
        </w:rPr>
      </w:pPr>
    </w:p>
    <w:p w14:paraId="76B3CA26">
      <w:pPr>
        <w:spacing w:line="300" w:lineRule="auto"/>
        <w:ind w:firstLine="0" w:firstLineChars="0"/>
        <w:jc w:val="center"/>
        <w:rPr>
          <w:b/>
          <w:sz w:val="32"/>
          <w:szCs w:val="32"/>
        </w:rPr>
      </w:pPr>
    </w:p>
    <w:p w14:paraId="76BF74A9">
      <w:pPr>
        <w:spacing w:line="300" w:lineRule="auto"/>
        <w:ind w:firstLine="0" w:firstLineChars="0"/>
        <w:jc w:val="center"/>
        <w:rPr>
          <w:b/>
          <w:sz w:val="32"/>
          <w:szCs w:val="32"/>
        </w:rPr>
      </w:pPr>
    </w:p>
    <w:p w14:paraId="15025269">
      <w:pPr>
        <w:spacing w:line="300" w:lineRule="auto"/>
        <w:ind w:firstLine="0" w:firstLineChars="0"/>
        <w:jc w:val="center"/>
        <w:rPr>
          <w:b/>
          <w:sz w:val="32"/>
          <w:szCs w:val="32"/>
        </w:rPr>
      </w:pPr>
    </w:p>
    <w:p w14:paraId="5A0FEC72">
      <w:pPr>
        <w:spacing w:line="300" w:lineRule="auto"/>
        <w:ind w:firstLine="0" w:firstLineChars="0"/>
        <w:jc w:val="center"/>
        <w:rPr>
          <w:b/>
          <w:sz w:val="32"/>
          <w:szCs w:val="32"/>
        </w:rPr>
      </w:pPr>
    </w:p>
    <w:p w14:paraId="6E89CADF">
      <w:pPr>
        <w:spacing w:line="300" w:lineRule="auto"/>
        <w:ind w:firstLine="0" w:firstLineChars="0"/>
        <w:jc w:val="center"/>
        <w:rPr>
          <w:b/>
          <w:sz w:val="32"/>
          <w:szCs w:val="32"/>
        </w:rPr>
      </w:pPr>
    </w:p>
    <w:p w14:paraId="33B6C528">
      <w:pPr>
        <w:spacing w:line="300" w:lineRule="auto"/>
        <w:ind w:firstLine="0" w:firstLineChars="0"/>
        <w:jc w:val="center"/>
        <w:rPr>
          <w:b/>
          <w:sz w:val="32"/>
          <w:szCs w:val="32"/>
        </w:rPr>
      </w:pPr>
    </w:p>
    <w:p w14:paraId="3C3F9DB6">
      <w:pPr>
        <w:spacing w:line="300" w:lineRule="auto"/>
        <w:ind w:firstLine="0" w:firstLineChars="0"/>
        <w:jc w:val="center"/>
        <w:rPr>
          <w:b/>
          <w:sz w:val="32"/>
          <w:szCs w:val="32"/>
        </w:rPr>
      </w:pPr>
      <w:r>
        <w:rPr>
          <w:b/>
          <w:sz w:val="32"/>
          <w:szCs w:val="32"/>
        </w:rPr>
        <w:t>指南编制组</w:t>
      </w:r>
    </w:p>
    <w:p w14:paraId="442F325A">
      <w:pPr>
        <w:spacing w:line="300" w:lineRule="auto"/>
        <w:ind w:firstLine="0" w:firstLineChars="0"/>
        <w:jc w:val="center"/>
        <w:rPr>
          <w:b/>
          <w:sz w:val="32"/>
          <w:szCs w:val="32"/>
        </w:rPr>
      </w:pPr>
      <w:r>
        <w:rPr>
          <w:b/>
          <w:sz w:val="32"/>
          <w:szCs w:val="32"/>
        </w:rPr>
        <w:t>202</w:t>
      </w:r>
      <w:r>
        <w:rPr>
          <w:rFonts w:hint="eastAsia"/>
          <w:b/>
          <w:sz w:val="32"/>
          <w:szCs w:val="32"/>
        </w:rPr>
        <w:t>5</w:t>
      </w:r>
      <w:r>
        <w:rPr>
          <w:b/>
          <w:sz w:val="32"/>
          <w:szCs w:val="32"/>
        </w:rPr>
        <w:t>年</w:t>
      </w:r>
      <w:r>
        <w:rPr>
          <w:rFonts w:hint="eastAsia"/>
          <w:b/>
          <w:sz w:val="32"/>
          <w:szCs w:val="32"/>
        </w:rPr>
        <w:t>5</w:t>
      </w:r>
      <w:r>
        <w:rPr>
          <w:b/>
          <w:sz w:val="32"/>
          <w:szCs w:val="32"/>
        </w:rPr>
        <w:t>月</w:t>
      </w:r>
    </w:p>
    <w:p w14:paraId="300139AD">
      <w:pPr>
        <w:ind w:firstLine="0" w:firstLineChars="0"/>
        <w:rPr>
          <w:color w:val="FF0000"/>
          <w:kern w:val="0"/>
          <w:sz w:val="28"/>
          <w:szCs w:val="28"/>
          <w:highlight w:val="yellow"/>
        </w:rPr>
      </w:pPr>
    </w:p>
    <w:p w14:paraId="3250829B">
      <w:pPr>
        <w:ind w:firstLine="560"/>
        <w:rPr>
          <w:color w:val="FF0000"/>
          <w:kern w:val="0"/>
          <w:sz w:val="28"/>
          <w:szCs w:val="28"/>
          <w:highlight w:val="yellow"/>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10DF392B">
      <w:pPr>
        <w:pStyle w:val="46"/>
        <w:spacing w:after="0"/>
        <w:ind w:firstLine="643"/>
        <w:rPr>
          <w:b/>
          <w:sz w:val="32"/>
        </w:rPr>
      </w:pPr>
      <w:r>
        <w:rPr>
          <w:b/>
          <w:sz w:val="32"/>
        </w:rPr>
        <w:t>目录</w:t>
      </w:r>
    </w:p>
    <w:p w14:paraId="0902254B">
      <w:pPr>
        <w:pStyle w:val="15"/>
        <w:spacing w:line="240" w:lineRule="auto"/>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"_Toc159926911" </w:instrText>
      </w:r>
      <w:r>
        <w:fldChar w:fldCharType="separate"/>
      </w:r>
      <w:r>
        <w:rPr>
          <w:rStyle w:val="26"/>
        </w:rPr>
        <w:t xml:space="preserve">1 </w:t>
      </w:r>
      <w:r>
        <w:rPr>
          <w:rStyle w:val="26"/>
          <w:rFonts w:hint="eastAsia"/>
        </w:rPr>
        <w:t>项目背景</w:t>
      </w:r>
      <w:r>
        <w:tab/>
      </w:r>
      <w:r>
        <w:fldChar w:fldCharType="begin"/>
      </w:r>
      <w:r>
        <w:instrText xml:space="preserve"> PAGEREF _Toc159926911 \h </w:instrText>
      </w:r>
      <w:r>
        <w:fldChar w:fldCharType="separate"/>
      </w:r>
      <w:r>
        <w:t>1</w:t>
      </w:r>
      <w:r>
        <w:fldChar w:fldCharType="end"/>
      </w:r>
      <w:r>
        <w:fldChar w:fldCharType="end"/>
      </w:r>
    </w:p>
    <w:p w14:paraId="22A356E5">
      <w:pPr>
        <w:pStyle w:val="16"/>
        <w:spacing w:line="240" w:lineRule="auto"/>
        <w:rPr>
          <w:rFonts w:asciiTheme="minorHAnsi" w:hAnsiTheme="minorHAnsi" w:eastAsiaTheme="minorEastAsia" w:cstheme="minorBidi"/>
          <w:sz w:val="21"/>
        </w:rPr>
      </w:pPr>
      <w:r>
        <w:fldChar w:fldCharType="begin"/>
      </w:r>
      <w:r>
        <w:instrText xml:space="preserve"> HYPERLINK \l "_Toc159926912" </w:instrText>
      </w:r>
      <w:r>
        <w:fldChar w:fldCharType="separate"/>
      </w:r>
      <w:r>
        <w:rPr>
          <w:rStyle w:val="26"/>
        </w:rPr>
        <w:t xml:space="preserve">1.1 </w:t>
      </w:r>
      <w:r>
        <w:rPr>
          <w:rStyle w:val="26"/>
          <w:rFonts w:hint="eastAsia"/>
        </w:rPr>
        <w:t>任务来源</w:t>
      </w:r>
      <w:r>
        <w:tab/>
      </w:r>
      <w:r>
        <w:fldChar w:fldCharType="begin"/>
      </w:r>
      <w:r>
        <w:instrText xml:space="preserve"> PAGEREF _Toc159926912 \h </w:instrText>
      </w:r>
      <w:r>
        <w:fldChar w:fldCharType="separate"/>
      </w:r>
      <w:r>
        <w:t>1</w:t>
      </w:r>
      <w:r>
        <w:fldChar w:fldCharType="end"/>
      </w:r>
      <w:r>
        <w:fldChar w:fldCharType="end"/>
      </w:r>
    </w:p>
    <w:p w14:paraId="7F6CDDBA">
      <w:pPr>
        <w:pStyle w:val="16"/>
        <w:spacing w:line="240" w:lineRule="auto"/>
        <w:rPr>
          <w:rFonts w:asciiTheme="minorHAnsi" w:hAnsiTheme="minorHAnsi" w:eastAsiaTheme="minorEastAsia" w:cstheme="minorBidi"/>
          <w:sz w:val="21"/>
        </w:rPr>
      </w:pPr>
      <w:r>
        <w:fldChar w:fldCharType="begin"/>
      </w:r>
      <w:r>
        <w:instrText xml:space="preserve"> HYPERLINK \l "_Toc159926913" </w:instrText>
      </w:r>
      <w:r>
        <w:fldChar w:fldCharType="separate"/>
      </w:r>
      <w:r>
        <w:rPr>
          <w:rStyle w:val="26"/>
        </w:rPr>
        <w:t xml:space="preserve">1.2 </w:t>
      </w:r>
      <w:r>
        <w:rPr>
          <w:rStyle w:val="26"/>
          <w:rFonts w:hint="eastAsia"/>
        </w:rPr>
        <w:t>工作背景</w:t>
      </w:r>
      <w:r>
        <w:tab/>
      </w:r>
      <w:r>
        <w:fldChar w:fldCharType="begin"/>
      </w:r>
      <w:r>
        <w:instrText xml:space="preserve"> PAGEREF _Toc159926913 \h </w:instrText>
      </w:r>
      <w:r>
        <w:fldChar w:fldCharType="separate"/>
      </w:r>
      <w:r>
        <w:t>1</w:t>
      </w:r>
      <w:r>
        <w:fldChar w:fldCharType="end"/>
      </w:r>
      <w:r>
        <w:fldChar w:fldCharType="end"/>
      </w:r>
    </w:p>
    <w:p w14:paraId="5F0F7D4B">
      <w:pPr>
        <w:pStyle w:val="16"/>
        <w:spacing w:line="240" w:lineRule="auto"/>
        <w:rPr>
          <w:rFonts w:asciiTheme="minorHAnsi" w:hAnsiTheme="minorHAnsi" w:eastAsiaTheme="minorEastAsia" w:cstheme="minorBidi"/>
          <w:sz w:val="21"/>
        </w:rPr>
      </w:pPr>
      <w:r>
        <w:fldChar w:fldCharType="begin"/>
      </w:r>
      <w:r>
        <w:instrText xml:space="preserve"> HYPERLINK \l "_Toc159926914" </w:instrText>
      </w:r>
      <w:r>
        <w:fldChar w:fldCharType="separate"/>
      </w:r>
      <w:r>
        <w:rPr>
          <w:rStyle w:val="26"/>
        </w:rPr>
        <w:t xml:space="preserve">1.3 </w:t>
      </w:r>
      <w:r>
        <w:rPr>
          <w:rStyle w:val="26"/>
          <w:rFonts w:hint="eastAsia"/>
        </w:rPr>
        <w:t>工作过程</w:t>
      </w:r>
      <w:r>
        <w:tab/>
      </w:r>
      <w:r>
        <w:fldChar w:fldCharType="begin"/>
      </w:r>
      <w:r>
        <w:instrText xml:space="preserve"> PAGEREF _Toc159926914 \h </w:instrText>
      </w:r>
      <w:r>
        <w:fldChar w:fldCharType="separate"/>
      </w:r>
      <w:r>
        <w:t>2</w:t>
      </w:r>
      <w:r>
        <w:fldChar w:fldCharType="end"/>
      </w:r>
      <w:r>
        <w:fldChar w:fldCharType="end"/>
      </w:r>
    </w:p>
    <w:p w14:paraId="027DFE3D">
      <w:pPr>
        <w:pStyle w:val="15"/>
        <w:spacing w:line="240" w:lineRule="auto"/>
        <w:rPr>
          <w:rFonts w:asciiTheme="minorHAnsi" w:hAnsiTheme="minorHAnsi" w:eastAsiaTheme="minorEastAsia" w:cstheme="minorBidi"/>
          <w:sz w:val="21"/>
        </w:rPr>
      </w:pPr>
      <w:r>
        <w:fldChar w:fldCharType="begin"/>
      </w:r>
      <w:r>
        <w:instrText xml:space="preserve"> HYPERLINK \l "_Toc159926915" </w:instrText>
      </w:r>
      <w:r>
        <w:fldChar w:fldCharType="separate"/>
      </w:r>
      <w:r>
        <w:rPr>
          <w:rStyle w:val="26"/>
        </w:rPr>
        <w:t xml:space="preserve">2 </w:t>
      </w:r>
      <w:r>
        <w:rPr>
          <w:rStyle w:val="26"/>
          <w:rFonts w:hint="eastAsia"/>
        </w:rPr>
        <w:t>标准制定的必要性</w:t>
      </w:r>
      <w:r>
        <w:tab/>
      </w:r>
      <w:r>
        <w:fldChar w:fldCharType="begin"/>
      </w:r>
      <w:r>
        <w:instrText xml:space="preserve"> PAGEREF _Toc159926915 \h </w:instrText>
      </w:r>
      <w:r>
        <w:fldChar w:fldCharType="separate"/>
      </w:r>
      <w:r>
        <w:t>3</w:t>
      </w:r>
      <w:r>
        <w:fldChar w:fldCharType="end"/>
      </w:r>
      <w:r>
        <w:fldChar w:fldCharType="end"/>
      </w:r>
    </w:p>
    <w:p w14:paraId="76A0505E">
      <w:pPr>
        <w:pStyle w:val="16"/>
        <w:spacing w:line="240" w:lineRule="auto"/>
        <w:rPr>
          <w:rFonts w:asciiTheme="minorHAnsi" w:hAnsiTheme="minorHAnsi" w:eastAsiaTheme="minorEastAsia" w:cstheme="minorBidi"/>
          <w:sz w:val="21"/>
        </w:rPr>
      </w:pPr>
      <w:r>
        <w:fldChar w:fldCharType="begin"/>
      </w:r>
      <w:r>
        <w:instrText xml:space="preserve"> HYPERLINK \l "_Toc159926916" </w:instrText>
      </w:r>
      <w:r>
        <w:fldChar w:fldCharType="separate"/>
      </w:r>
      <w:r>
        <w:rPr>
          <w:rStyle w:val="26"/>
        </w:rPr>
        <w:t xml:space="preserve">2.1 </w:t>
      </w:r>
      <w:r>
        <w:rPr>
          <w:rStyle w:val="26"/>
          <w:rFonts w:hint="eastAsia"/>
        </w:rPr>
        <w:t>江西省大气污染防控形势发展需要</w:t>
      </w:r>
      <w:r>
        <w:tab/>
      </w:r>
      <w:r>
        <w:fldChar w:fldCharType="begin"/>
      </w:r>
      <w:r>
        <w:instrText xml:space="preserve"> PAGEREF _Toc159926916 \h </w:instrText>
      </w:r>
      <w:r>
        <w:fldChar w:fldCharType="separate"/>
      </w:r>
      <w:r>
        <w:t>3</w:t>
      </w:r>
      <w:r>
        <w:fldChar w:fldCharType="end"/>
      </w:r>
      <w:r>
        <w:fldChar w:fldCharType="end"/>
      </w:r>
    </w:p>
    <w:p w14:paraId="705E0024">
      <w:pPr>
        <w:pStyle w:val="16"/>
        <w:spacing w:line="240" w:lineRule="auto"/>
        <w:rPr>
          <w:rFonts w:asciiTheme="minorHAnsi" w:hAnsiTheme="minorHAnsi" w:eastAsiaTheme="minorEastAsia" w:cstheme="minorBidi"/>
          <w:sz w:val="21"/>
        </w:rPr>
      </w:pPr>
      <w:r>
        <w:fldChar w:fldCharType="begin"/>
      </w:r>
      <w:r>
        <w:instrText xml:space="preserve"> HYPERLINK \l "_Toc159926917" </w:instrText>
      </w:r>
      <w:r>
        <w:fldChar w:fldCharType="separate"/>
      </w:r>
      <w:r>
        <w:rPr>
          <w:rStyle w:val="26"/>
        </w:rPr>
        <w:t xml:space="preserve">2.2 </w:t>
      </w:r>
      <w:r>
        <w:rPr>
          <w:rStyle w:val="26"/>
          <w:rFonts w:hint="eastAsia"/>
        </w:rPr>
        <w:t>引导行业可持续发展的需要</w:t>
      </w:r>
      <w:r>
        <w:tab/>
      </w:r>
      <w:r>
        <w:fldChar w:fldCharType="begin"/>
      </w:r>
      <w:r>
        <w:instrText xml:space="preserve"> PAGEREF _Toc159926917 \h </w:instrText>
      </w:r>
      <w:r>
        <w:fldChar w:fldCharType="separate"/>
      </w:r>
      <w:r>
        <w:t>3</w:t>
      </w:r>
      <w:r>
        <w:fldChar w:fldCharType="end"/>
      </w:r>
      <w:r>
        <w:fldChar w:fldCharType="end"/>
      </w:r>
    </w:p>
    <w:p w14:paraId="61711282">
      <w:pPr>
        <w:pStyle w:val="16"/>
        <w:spacing w:line="240" w:lineRule="auto"/>
        <w:rPr>
          <w:rFonts w:asciiTheme="minorHAnsi" w:hAnsiTheme="minorHAnsi" w:eastAsiaTheme="minorEastAsia" w:cstheme="minorBidi"/>
          <w:sz w:val="21"/>
        </w:rPr>
      </w:pPr>
      <w:r>
        <w:fldChar w:fldCharType="begin"/>
      </w:r>
      <w:r>
        <w:instrText xml:space="preserve"> HYPERLINK \l "_Toc159926918" </w:instrText>
      </w:r>
      <w:r>
        <w:fldChar w:fldCharType="separate"/>
      </w:r>
      <w:r>
        <w:rPr>
          <w:rStyle w:val="26"/>
        </w:rPr>
        <w:t xml:space="preserve">2.3 </w:t>
      </w:r>
      <w:r>
        <w:rPr>
          <w:rStyle w:val="26"/>
          <w:rFonts w:hint="eastAsia"/>
        </w:rPr>
        <w:t>完善我省环境保护标准体系的需要</w:t>
      </w:r>
      <w:r>
        <w:tab/>
      </w:r>
      <w:r>
        <w:fldChar w:fldCharType="begin"/>
      </w:r>
      <w:r>
        <w:instrText xml:space="preserve"> PAGEREF _Toc159926918 \h </w:instrText>
      </w:r>
      <w:r>
        <w:fldChar w:fldCharType="separate"/>
      </w:r>
      <w:r>
        <w:t>4</w:t>
      </w:r>
      <w:r>
        <w:fldChar w:fldCharType="end"/>
      </w:r>
      <w:r>
        <w:fldChar w:fldCharType="end"/>
      </w:r>
    </w:p>
    <w:p w14:paraId="5187BB49">
      <w:pPr>
        <w:pStyle w:val="16"/>
        <w:spacing w:line="240" w:lineRule="auto"/>
        <w:rPr>
          <w:rFonts w:asciiTheme="minorHAnsi" w:hAnsiTheme="minorHAnsi" w:eastAsiaTheme="minorEastAsia" w:cstheme="minorBidi"/>
          <w:sz w:val="21"/>
        </w:rPr>
      </w:pPr>
      <w:r>
        <w:fldChar w:fldCharType="begin"/>
      </w:r>
      <w:r>
        <w:instrText xml:space="preserve"> HYPERLINK \l "_Toc159926919" </w:instrText>
      </w:r>
      <w:r>
        <w:fldChar w:fldCharType="separate"/>
      </w:r>
      <w:r>
        <w:rPr>
          <w:rStyle w:val="26"/>
        </w:rPr>
        <w:t xml:space="preserve">2.4 </w:t>
      </w:r>
      <w:r>
        <w:rPr>
          <w:rStyle w:val="26"/>
          <w:rFonts w:hint="eastAsia"/>
        </w:rPr>
        <w:t>污染治理水平提高的需要</w:t>
      </w:r>
      <w:r>
        <w:tab/>
      </w:r>
      <w:r>
        <w:fldChar w:fldCharType="begin"/>
      </w:r>
      <w:r>
        <w:instrText xml:space="preserve"> PAGEREF _Toc159926919 \h </w:instrText>
      </w:r>
      <w:r>
        <w:fldChar w:fldCharType="separate"/>
      </w:r>
      <w:r>
        <w:t>4</w:t>
      </w:r>
      <w:r>
        <w:fldChar w:fldCharType="end"/>
      </w:r>
      <w:r>
        <w:fldChar w:fldCharType="end"/>
      </w:r>
    </w:p>
    <w:p w14:paraId="7B0FAACB">
      <w:pPr>
        <w:pStyle w:val="15"/>
        <w:spacing w:line="240" w:lineRule="auto"/>
        <w:rPr>
          <w:rFonts w:asciiTheme="minorHAnsi" w:hAnsiTheme="minorHAnsi" w:eastAsiaTheme="minorEastAsia" w:cstheme="minorBidi"/>
          <w:sz w:val="21"/>
        </w:rPr>
      </w:pPr>
      <w:r>
        <w:fldChar w:fldCharType="begin"/>
      </w:r>
      <w:r>
        <w:instrText xml:space="preserve"> HYPERLINK \l "_Toc159926920" </w:instrText>
      </w:r>
      <w:r>
        <w:fldChar w:fldCharType="separate"/>
      </w:r>
      <w:r>
        <w:rPr>
          <w:rStyle w:val="26"/>
        </w:rPr>
        <w:t xml:space="preserve">3 </w:t>
      </w:r>
      <w:r>
        <w:rPr>
          <w:rStyle w:val="26"/>
          <w:rFonts w:hint="eastAsia"/>
        </w:rPr>
        <w:t>有机化工行业</w:t>
      </w:r>
      <w:r>
        <w:rPr>
          <w:rStyle w:val="26"/>
        </w:rPr>
        <w:t>VOCs</w:t>
      </w:r>
      <w:r>
        <w:rPr>
          <w:rStyle w:val="26"/>
          <w:rFonts w:hint="eastAsia"/>
        </w:rPr>
        <w:t>污染防治概况</w:t>
      </w:r>
      <w:r>
        <w:tab/>
      </w:r>
      <w:r>
        <w:fldChar w:fldCharType="begin"/>
      </w:r>
      <w:r>
        <w:instrText xml:space="preserve"> PAGEREF _Toc159926920 \h </w:instrText>
      </w:r>
      <w:r>
        <w:fldChar w:fldCharType="separate"/>
      </w:r>
      <w:r>
        <w:t>5</w:t>
      </w:r>
      <w:r>
        <w:fldChar w:fldCharType="end"/>
      </w:r>
      <w:r>
        <w:fldChar w:fldCharType="end"/>
      </w:r>
    </w:p>
    <w:p w14:paraId="7F2D71B1">
      <w:pPr>
        <w:pStyle w:val="16"/>
        <w:spacing w:line="240" w:lineRule="auto"/>
        <w:rPr>
          <w:rFonts w:asciiTheme="minorHAnsi" w:hAnsiTheme="minorHAnsi" w:eastAsiaTheme="minorEastAsia" w:cstheme="minorBidi"/>
          <w:sz w:val="21"/>
        </w:rPr>
      </w:pPr>
      <w:r>
        <w:fldChar w:fldCharType="begin"/>
      </w:r>
      <w:r>
        <w:instrText xml:space="preserve"> HYPERLINK \l "_Toc159926921" </w:instrText>
      </w:r>
      <w:r>
        <w:fldChar w:fldCharType="separate"/>
      </w:r>
      <w:r>
        <w:rPr>
          <w:rStyle w:val="26"/>
        </w:rPr>
        <w:t xml:space="preserve">3.1 </w:t>
      </w:r>
      <w:r>
        <w:rPr>
          <w:rStyle w:val="26"/>
          <w:rFonts w:hint="eastAsia"/>
        </w:rPr>
        <w:t>有机化学工业分类</w:t>
      </w:r>
      <w:r>
        <w:tab/>
      </w:r>
      <w:r>
        <w:fldChar w:fldCharType="begin"/>
      </w:r>
      <w:r>
        <w:instrText xml:space="preserve"> PAGEREF _Toc159926921 \h </w:instrText>
      </w:r>
      <w:r>
        <w:fldChar w:fldCharType="separate"/>
      </w:r>
      <w:r>
        <w:t>5</w:t>
      </w:r>
      <w:r>
        <w:fldChar w:fldCharType="end"/>
      </w:r>
      <w:r>
        <w:fldChar w:fldCharType="end"/>
      </w:r>
    </w:p>
    <w:p w14:paraId="1136B0CA">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"_Toc159926922" </w:instrText>
      </w:r>
      <w:r>
        <w:fldChar w:fldCharType="separate"/>
      </w:r>
      <w:r>
        <w:rPr>
          <w:rStyle w:val="26"/>
        </w:rPr>
        <w:t xml:space="preserve">3.1.1 </w:t>
      </w:r>
      <w:r>
        <w:rPr>
          <w:rStyle w:val="26"/>
          <w:rFonts w:hint="eastAsia"/>
        </w:rPr>
        <w:t>总体概况</w:t>
      </w:r>
      <w:r>
        <w:tab/>
      </w:r>
      <w:r>
        <w:fldChar w:fldCharType="begin"/>
      </w:r>
      <w:r>
        <w:instrText xml:space="preserve"> PAGEREF _Toc159926922 \h </w:instrText>
      </w:r>
      <w:r>
        <w:fldChar w:fldCharType="separate"/>
      </w:r>
      <w:r>
        <w:t>6</w:t>
      </w:r>
      <w:r>
        <w:fldChar w:fldCharType="end"/>
      </w:r>
      <w:r>
        <w:fldChar w:fldCharType="end"/>
      </w:r>
    </w:p>
    <w:p w14:paraId="42918882">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"_Toc159926923" </w:instrText>
      </w:r>
      <w:r>
        <w:fldChar w:fldCharType="separate"/>
      </w:r>
      <w:r>
        <w:rPr>
          <w:rStyle w:val="26"/>
        </w:rPr>
        <w:t xml:space="preserve">3.1.2 </w:t>
      </w:r>
      <w:r>
        <w:rPr>
          <w:rStyle w:val="26"/>
          <w:rFonts w:hint="eastAsia"/>
        </w:rPr>
        <w:t>企业调查情况</w:t>
      </w:r>
      <w:r>
        <w:tab/>
      </w:r>
      <w:r>
        <w:fldChar w:fldCharType="begin"/>
      </w:r>
      <w:r>
        <w:instrText xml:space="preserve"> PAGEREF _Toc159926923 \h </w:instrText>
      </w:r>
      <w:r>
        <w:fldChar w:fldCharType="separate"/>
      </w:r>
      <w:r>
        <w:t>6</w:t>
      </w:r>
      <w:r>
        <w:fldChar w:fldCharType="end"/>
      </w:r>
      <w:r>
        <w:fldChar w:fldCharType="end"/>
      </w:r>
    </w:p>
    <w:p w14:paraId="09081901">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"_Toc159926924" </w:instrText>
      </w:r>
      <w:r>
        <w:fldChar w:fldCharType="separate"/>
      </w:r>
      <w:r>
        <w:rPr>
          <w:rStyle w:val="26"/>
        </w:rPr>
        <w:t xml:space="preserve">3.1.3 </w:t>
      </w:r>
      <w:r>
        <w:rPr>
          <w:rStyle w:val="26"/>
          <w:rFonts w:hint="eastAsia"/>
        </w:rPr>
        <w:t>有机化工行业</w:t>
      </w:r>
      <w:r>
        <w:rPr>
          <w:rStyle w:val="26"/>
        </w:rPr>
        <w:t>VOCs</w:t>
      </w:r>
      <w:r>
        <w:rPr>
          <w:rStyle w:val="26"/>
          <w:rFonts w:hint="eastAsia"/>
        </w:rPr>
        <w:t>排放情况</w:t>
      </w:r>
      <w:r>
        <w:tab/>
      </w:r>
      <w:r>
        <w:fldChar w:fldCharType="begin"/>
      </w:r>
      <w:r>
        <w:instrText xml:space="preserve"> PAGEREF _Toc159926924 \h </w:instrText>
      </w:r>
      <w:r>
        <w:fldChar w:fldCharType="separate"/>
      </w:r>
      <w:r>
        <w:t>8</w:t>
      </w:r>
      <w:r>
        <w:fldChar w:fldCharType="end"/>
      </w:r>
      <w:r>
        <w:fldChar w:fldCharType="end"/>
      </w:r>
    </w:p>
    <w:p w14:paraId="11D9D122">
      <w:pPr>
        <w:pStyle w:val="16"/>
        <w:spacing w:line="240" w:lineRule="auto"/>
        <w:rPr>
          <w:rFonts w:asciiTheme="minorHAnsi" w:hAnsiTheme="minorHAnsi" w:eastAsiaTheme="minorEastAsia" w:cstheme="minorBidi"/>
          <w:sz w:val="21"/>
        </w:rPr>
      </w:pPr>
      <w:r>
        <w:fldChar w:fldCharType="begin"/>
      </w:r>
      <w:r>
        <w:instrText xml:space="preserve"> HYPERLINK \l "_Toc159926925" </w:instrText>
      </w:r>
      <w:r>
        <w:fldChar w:fldCharType="separate"/>
      </w:r>
      <w:r>
        <w:rPr>
          <w:rStyle w:val="26"/>
        </w:rPr>
        <w:t xml:space="preserve">3.2 </w:t>
      </w:r>
      <w:r>
        <w:rPr>
          <w:rStyle w:val="26"/>
          <w:rFonts w:hint="eastAsia"/>
        </w:rPr>
        <w:t>有机化工行业</w:t>
      </w:r>
      <w:r>
        <w:rPr>
          <w:rStyle w:val="26"/>
        </w:rPr>
        <w:t>VOCs</w:t>
      </w:r>
      <w:r>
        <w:rPr>
          <w:rStyle w:val="26"/>
          <w:rFonts w:hint="eastAsia"/>
        </w:rPr>
        <w:t>污染防治概况</w:t>
      </w:r>
      <w:r>
        <w:tab/>
      </w:r>
      <w:r>
        <w:fldChar w:fldCharType="begin"/>
      </w:r>
      <w:r>
        <w:instrText xml:space="preserve"> PAGEREF _Toc159926925 \h </w:instrText>
      </w:r>
      <w:r>
        <w:fldChar w:fldCharType="separate"/>
      </w:r>
      <w:r>
        <w:t>9</w:t>
      </w:r>
      <w:r>
        <w:fldChar w:fldCharType="end"/>
      </w:r>
      <w:r>
        <w:fldChar w:fldCharType="end"/>
      </w:r>
    </w:p>
    <w:p w14:paraId="6B406096">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"_Toc159926926" </w:instrText>
      </w:r>
      <w:r>
        <w:fldChar w:fldCharType="separate"/>
      </w:r>
      <w:r>
        <w:rPr>
          <w:rStyle w:val="26"/>
        </w:rPr>
        <w:t xml:space="preserve">3.2.1 </w:t>
      </w:r>
      <w:r>
        <w:rPr>
          <w:rStyle w:val="26"/>
          <w:rFonts w:hint="eastAsia"/>
        </w:rPr>
        <w:t>污染防治管理概况</w:t>
      </w:r>
      <w:r>
        <w:tab/>
      </w:r>
      <w:r>
        <w:fldChar w:fldCharType="begin"/>
      </w:r>
      <w:r>
        <w:instrText xml:space="preserve"> PAGEREF _Toc159926926 \h </w:instrText>
      </w:r>
      <w:r>
        <w:fldChar w:fldCharType="separate"/>
      </w:r>
      <w:r>
        <w:t>9</w:t>
      </w:r>
      <w:r>
        <w:fldChar w:fldCharType="end"/>
      </w:r>
      <w:r>
        <w:fldChar w:fldCharType="end"/>
      </w:r>
    </w:p>
    <w:p w14:paraId="3737CF51">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"_Toc159926927" </w:instrText>
      </w:r>
      <w:r>
        <w:fldChar w:fldCharType="separate"/>
      </w:r>
      <w:r>
        <w:rPr>
          <w:rStyle w:val="26"/>
        </w:rPr>
        <w:t xml:space="preserve">3.2.2 </w:t>
      </w:r>
      <w:r>
        <w:rPr>
          <w:rStyle w:val="26"/>
          <w:rFonts w:hint="eastAsia"/>
        </w:rPr>
        <w:t>污染防治措施概况</w:t>
      </w:r>
      <w:r>
        <w:tab/>
      </w:r>
      <w:r>
        <w:fldChar w:fldCharType="begin"/>
      </w:r>
      <w:r>
        <w:instrText xml:space="preserve"> PAGEREF _Toc159926927 \h </w:instrText>
      </w:r>
      <w:r>
        <w:fldChar w:fldCharType="separate"/>
      </w:r>
      <w:r>
        <w:t>10</w:t>
      </w:r>
      <w:r>
        <w:fldChar w:fldCharType="end"/>
      </w:r>
      <w:r>
        <w:fldChar w:fldCharType="end"/>
      </w:r>
    </w:p>
    <w:p w14:paraId="17FE2EE9">
      <w:pPr>
        <w:pStyle w:val="15"/>
        <w:spacing w:line="240" w:lineRule="auto"/>
        <w:rPr>
          <w:rFonts w:asciiTheme="minorHAnsi" w:hAnsiTheme="minorHAnsi" w:eastAsiaTheme="minorEastAsia" w:cstheme="minorBidi"/>
          <w:sz w:val="21"/>
        </w:rPr>
      </w:pPr>
      <w:r>
        <w:fldChar w:fldCharType="begin"/>
      </w:r>
      <w:r>
        <w:instrText xml:space="preserve"> HYPERLINK \l "_Toc159926928" </w:instrText>
      </w:r>
      <w:r>
        <w:fldChar w:fldCharType="separate"/>
      </w:r>
      <w:r>
        <w:rPr>
          <w:rStyle w:val="26"/>
        </w:rPr>
        <w:t xml:space="preserve">4 </w:t>
      </w:r>
      <w:r>
        <w:rPr>
          <w:rStyle w:val="26"/>
          <w:rFonts w:hint="eastAsia"/>
        </w:rPr>
        <w:t>相关标准概况</w:t>
      </w:r>
      <w:r>
        <w:tab/>
      </w:r>
      <w:r>
        <w:fldChar w:fldCharType="begin"/>
      </w:r>
      <w:r>
        <w:instrText xml:space="preserve"> PAGEREF _Toc159926928 \h </w:instrText>
      </w:r>
      <w:r>
        <w:fldChar w:fldCharType="separate"/>
      </w:r>
      <w:r>
        <w:t>12</w:t>
      </w:r>
      <w:r>
        <w:fldChar w:fldCharType="end"/>
      </w:r>
      <w:r>
        <w:fldChar w:fldCharType="end"/>
      </w:r>
    </w:p>
    <w:p w14:paraId="19EC7AD4">
      <w:pPr>
        <w:pStyle w:val="16"/>
        <w:spacing w:line="240" w:lineRule="auto"/>
        <w:rPr>
          <w:rFonts w:asciiTheme="minorHAnsi" w:hAnsiTheme="minorHAnsi" w:eastAsiaTheme="minorEastAsia" w:cstheme="minorBidi"/>
          <w:sz w:val="21"/>
        </w:rPr>
      </w:pPr>
      <w:r>
        <w:fldChar w:fldCharType="begin"/>
      </w:r>
      <w:r>
        <w:instrText xml:space="preserve"> HYPERLINK \l "_Toc159926929" </w:instrText>
      </w:r>
      <w:r>
        <w:fldChar w:fldCharType="separate"/>
      </w:r>
      <w:r>
        <w:rPr>
          <w:rStyle w:val="26"/>
        </w:rPr>
        <w:t xml:space="preserve">4.1 </w:t>
      </w:r>
      <w:r>
        <w:rPr>
          <w:rStyle w:val="26"/>
          <w:rFonts w:hint="eastAsia"/>
        </w:rPr>
        <w:t>国家层面</w:t>
      </w:r>
      <w:r>
        <w:tab/>
      </w:r>
      <w:r>
        <w:fldChar w:fldCharType="begin"/>
      </w:r>
      <w:r>
        <w:instrText xml:space="preserve"> PAGEREF _Toc159926929 \h </w:instrText>
      </w:r>
      <w:r>
        <w:fldChar w:fldCharType="separate"/>
      </w:r>
      <w:r>
        <w:t>12</w:t>
      </w:r>
      <w:r>
        <w:fldChar w:fldCharType="end"/>
      </w:r>
      <w:r>
        <w:fldChar w:fldCharType="end"/>
      </w:r>
    </w:p>
    <w:p w14:paraId="4EBA74FB">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"_Toc159926930" </w:instrText>
      </w:r>
      <w:r>
        <w:fldChar w:fldCharType="separate"/>
      </w:r>
      <w:r>
        <w:rPr>
          <w:rStyle w:val="26"/>
        </w:rPr>
        <w:t>GB 37824—2019</w:t>
      </w:r>
      <w:r>
        <w:tab/>
      </w:r>
      <w:r>
        <w:fldChar w:fldCharType="begin"/>
      </w:r>
      <w:r>
        <w:instrText xml:space="preserve"> PAGEREF _Toc159926930 \h </w:instrText>
      </w:r>
      <w:r>
        <w:fldChar w:fldCharType="separate"/>
      </w:r>
      <w:r>
        <w:t>13</w:t>
      </w:r>
      <w:r>
        <w:fldChar w:fldCharType="end"/>
      </w:r>
      <w:r>
        <w:fldChar w:fldCharType="end"/>
      </w:r>
    </w:p>
    <w:p w14:paraId="501658CF">
      <w:pPr>
        <w:pStyle w:val="16"/>
        <w:spacing w:line="240" w:lineRule="auto"/>
        <w:rPr>
          <w:rFonts w:asciiTheme="minorHAnsi" w:hAnsiTheme="minorHAnsi" w:eastAsiaTheme="minorEastAsia" w:cstheme="minorBidi"/>
          <w:sz w:val="21"/>
        </w:rPr>
      </w:pPr>
      <w:r>
        <w:fldChar w:fldCharType="begin"/>
      </w:r>
      <w:r>
        <w:instrText xml:space="preserve"> HYPERLINK \l "_Toc159926931" </w:instrText>
      </w:r>
      <w:r>
        <w:fldChar w:fldCharType="separate"/>
      </w:r>
      <w:r>
        <w:rPr>
          <w:rStyle w:val="26"/>
        </w:rPr>
        <w:t xml:space="preserve">4.2 </w:t>
      </w:r>
      <w:r>
        <w:rPr>
          <w:rStyle w:val="26"/>
          <w:rFonts w:hint="eastAsia"/>
        </w:rPr>
        <w:t>地方相关标准</w:t>
      </w:r>
      <w:r>
        <w:tab/>
      </w:r>
      <w:r>
        <w:fldChar w:fldCharType="begin"/>
      </w:r>
      <w:r>
        <w:instrText xml:space="preserve"> PAGEREF _Toc159926931 \h </w:instrText>
      </w:r>
      <w:r>
        <w:fldChar w:fldCharType="separate"/>
      </w:r>
      <w:r>
        <w:t>13</w:t>
      </w:r>
      <w:r>
        <w:fldChar w:fldCharType="end"/>
      </w:r>
      <w:r>
        <w:fldChar w:fldCharType="end"/>
      </w:r>
    </w:p>
    <w:p w14:paraId="4396CF80">
      <w:pPr>
        <w:pStyle w:val="15"/>
        <w:spacing w:line="240" w:lineRule="auto"/>
        <w:rPr>
          <w:rFonts w:asciiTheme="minorHAnsi" w:hAnsiTheme="minorHAnsi" w:eastAsiaTheme="minorEastAsia" w:cstheme="minorBidi"/>
          <w:sz w:val="21"/>
        </w:rPr>
      </w:pPr>
      <w:r>
        <w:fldChar w:fldCharType="begin"/>
      </w:r>
      <w:r>
        <w:instrText xml:space="preserve"> HYPERLINK \l "_Toc159926932" </w:instrText>
      </w:r>
      <w:r>
        <w:fldChar w:fldCharType="separate"/>
      </w:r>
      <w:r>
        <w:rPr>
          <w:rStyle w:val="26"/>
        </w:rPr>
        <w:t xml:space="preserve">5 </w:t>
      </w:r>
      <w:r>
        <w:rPr>
          <w:rStyle w:val="26"/>
          <w:rFonts w:hint="eastAsia"/>
        </w:rPr>
        <w:t>标准编制总体思路及技术路线</w:t>
      </w:r>
      <w:r>
        <w:tab/>
      </w:r>
      <w:r>
        <w:fldChar w:fldCharType="begin"/>
      </w:r>
      <w:r>
        <w:instrText xml:space="preserve"> PAGEREF _Toc159926932 \h </w:instrText>
      </w:r>
      <w:r>
        <w:fldChar w:fldCharType="separate"/>
      </w:r>
      <w:r>
        <w:t>15</w:t>
      </w:r>
      <w:r>
        <w:fldChar w:fldCharType="end"/>
      </w:r>
      <w:r>
        <w:fldChar w:fldCharType="end"/>
      </w:r>
    </w:p>
    <w:p w14:paraId="6069177A">
      <w:pPr>
        <w:pStyle w:val="16"/>
        <w:spacing w:line="240" w:lineRule="auto"/>
        <w:rPr>
          <w:rFonts w:asciiTheme="minorHAnsi" w:hAnsiTheme="minorHAnsi" w:eastAsiaTheme="minorEastAsia" w:cstheme="minorBidi"/>
          <w:sz w:val="21"/>
        </w:rPr>
      </w:pPr>
      <w:r>
        <w:fldChar w:fldCharType="begin"/>
      </w:r>
      <w:r>
        <w:instrText xml:space="preserve"> HYPERLINK \l "_Toc159926933" </w:instrText>
      </w:r>
      <w:r>
        <w:fldChar w:fldCharType="separate"/>
      </w:r>
      <w:r>
        <w:rPr>
          <w:rStyle w:val="26"/>
        </w:rPr>
        <w:t xml:space="preserve">5.1 </w:t>
      </w:r>
      <w:r>
        <w:rPr>
          <w:rStyle w:val="26"/>
          <w:rFonts w:hint="eastAsia"/>
        </w:rPr>
        <w:t>标准编制总体思路</w:t>
      </w:r>
      <w:r>
        <w:tab/>
      </w:r>
      <w:r>
        <w:fldChar w:fldCharType="begin"/>
      </w:r>
      <w:r>
        <w:instrText xml:space="preserve"> PAGEREF _Toc159926933 \h </w:instrText>
      </w:r>
      <w:r>
        <w:fldChar w:fldCharType="separate"/>
      </w:r>
      <w:r>
        <w:t>15</w:t>
      </w:r>
      <w:r>
        <w:fldChar w:fldCharType="end"/>
      </w:r>
      <w:r>
        <w:fldChar w:fldCharType="end"/>
      </w:r>
    </w:p>
    <w:p w14:paraId="1C83DED3">
      <w:pPr>
        <w:pStyle w:val="16"/>
        <w:spacing w:line="240" w:lineRule="auto"/>
        <w:rPr>
          <w:rFonts w:asciiTheme="minorHAnsi" w:hAnsiTheme="minorHAnsi" w:eastAsiaTheme="minorEastAsia" w:cstheme="minorBidi"/>
          <w:sz w:val="21"/>
        </w:rPr>
      </w:pPr>
      <w:r>
        <w:fldChar w:fldCharType="begin"/>
      </w:r>
      <w:r>
        <w:instrText xml:space="preserve"> HYPERLINK \l "_Toc159926934" </w:instrText>
      </w:r>
      <w:r>
        <w:fldChar w:fldCharType="separate"/>
      </w:r>
      <w:r>
        <w:rPr>
          <w:rStyle w:val="26"/>
        </w:rPr>
        <w:t xml:space="preserve">5.2 </w:t>
      </w:r>
      <w:r>
        <w:rPr>
          <w:rStyle w:val="26"/>
          <w:rFonts w:hint="eastAsia"/>
        </w:rPr>
        <w:t>标准制定原则</w:t>
      </w:r>
      <w:r>
        <w:tab/>
      </w:r>
      <w:r>
        <w:fldChar w:fldCharType="begin"/>
      </w:r>
      <w:r>
        <w:instrText xml:space="preserve"> PAGEREF _Toc159926934 \h </w:instrText>
      </w:r>
      <w:r>
        <w:fldChar w:fldCharType="separate"/>
      </w:r>
      <w:r>
        <w:t>15</w:t>
      </w:r>
      <w:r>
        <w:fldChar w:fldCharType="end"/>
      </w:r>
      <w:r>
        <w:fldChar w:fldCharType="end"/>
      </w:r>
    </w:p>
    <w:p w14:paraId="7E124539">
      <w:pPr>
        <w:pStyle w:val="16"/>
        <w:spacing w:line="240" w:lineRule="auto"/>
        <w:rPr>
          <w:rFonts w:asciiTheme="minorHAnsi" w:hAnsiTheme="minorHAnsi" w:eastAsiaTheme="minorEastAsia" w:cstheme="minorBidi"/>
          <w:sz w:val="21"/>
        </w:rPr>
      </w:pPr>
      <w:r>
        <w:fldChar w:fldCharType="begin"/>
      </w:r>
      <w:r>
        <w:instrText xml:space="preserve"> HYPERLINK \l "_Toc159926935" </w:instrText>
      </w:r>
      <w:r>
        <w:fldChar w:fldCharType="separate"/>
      </w:r>
      <w:r>
        <w:rPr>
          <w:rStyle w:val="26"/>
        </w:rPr>
        <w:t xml:space="preserve">5.3 </w:t>
      </w:r>
      <w:r>
        <w:rPr>
          <w:rStyle w:val="26"/>
          <w:rFonts w:hint="eastAsia"/>
        </w:rPr>
        <w:t>标准编制技术路线</w:t>
      </w:r>
      <w:r>
        <w:tab/>
      </w:r>
      <w:r>
        <w:fldChar w:fldCharType="begin"/>
      </w:r>
      <w:r>
        <w:instrText xml:space="preserve"> PAGEREF _Toc159926935 \h </w:instrText>
      </w:r>
      <w:r>
        <w:fldChar w:fldCharType="separate"/>
      </w:r>
      <w:r>
        <w:t>16</w:t>
      </w:r>
      <w:r>
        <w:fldChar w:fldCharType="end"/>
      </w:r>
      <w:r>
        <w:fldChar w:fldCharType="end"/>
      </w:r>
    </w:p>
    <w:p w14:paraId="01472013">
      <w:pPr>
        <w:pStyle w:val="15"/>
        <w:spacing w:line="240" w:lineRule="auto"/>
        <w:rPr>
          <w:rFonts w:asciiTheme="minorHAnsi" w:hAnsiTheme="minorHAnsi" w:eastAsiaTheme="minorEastAsia" w:cstheme="minorBidi"/>
          <w:sz w:val="21"/>
        </w:rPr>
      </w:pPr>
      <w:r>
        <w:fldChar w:fldCharType="begin"/>
      </w:r>
      <w:r>
        <w:instrText xml:space="preserve"> HYPERLINK \l "_Toc159926936" </w:instrText>
      </w:r>
      <w:r>
        <w:fldChar w:fldCharType="separate"/>
      </w:r>
      <w:r>
        <w:rPr>
          <w:rStyle w:val="26"/>
        </w:rPr>
        <w:t xml:space="preserve">6 </w:t>
      </w:r>
      <w:r>
        <w:rPr>
          <w:rStyle w:val="26"/>
          <w:rFonts w:hint="eastAsia"/>
        </w:rPr>
        <w:t>标准主要技术内容</w:t>
      </w:r>
      <w:r>
        <w:tab/>
      </w:r>
      <w:r>
        <w:fldChar w:fldCharType="begin"/>
      </w:r>
      <w:r>
        <w:instrText xml:space="preserve"> PAGEREF _Toc159926936 \h </w:instrText>
      </w:r>
      <w:r>
        <w:fldChar w:fldCharType="separate"/>
      </w:r>
      <w:r>
        <w:t>17</w:t>
      </w:r>
      <w:r>
        <w:fldChar w:fldCharType="end"/>
      </w:r>
      <w:r>
        <w:fldChar w:fldCharType="end"/>
      </w:r>
    </w:p>
    <w:p w14:paraId="278995B1">
      <w:pPr>
        <w:pStyle w:val="16"/>
        <w:spacing w:line="240" w:lineRule="auto"/>
        <w:rPr>
          <w:rFonts w:asciiTheme="minorHAnsi" w:hAnsiTheme="minorHAnsi" w:eastAsiaTheme="minorEastAsia" w:cstheme="minorBidi"/>
          <w:sz w:val="21"/>
        </w:rPr>
      </w:pPr>
      <w:r>
        <w:fldChar w:fldCharType="begin"/>
      </w:r>
      <w:r>
        <w:instrText xml:space="preserve"> HYPERLINK \l "_Toc159926937" </w:instrText>
      </w:r>
      <w:r>
        <w:fldChar w:fldCharType="separate"/>
      </w:r>
      <w:r>
        <w:rPr>
          <w:rStyle w:val="26"/>
        </w:rPr>
        <w:t xml:space="preserve">6.1 </w:t>
      </w:r>
      <w:r>
        <w:rPr>
          <w:rStyle w:val="26"/>
          <w:rFonts w:hint="eastAsia"/>
        </w:rPr>
        <w:t>适用范围</w:t>
      </w:r>
      <w:r>
        <w:tab/>
      </w:r>
      <w:r>
        <w:fldChar w:fldCharType="begin"/>
      </w:r>
      <w:r>
        <w:instrText xml:space="preserve"> PAGEREF _Toc159926937 \h </w:instrText>
      </w:r>
      <w:r>
        <w:fldChar w:fldCharType="separate"/>
      </w:r>
      <w:r>
        <w:t>17</w:t>
      </w:r>
      <w:r>
        <w:fldChar w:fldCharType="end"/>
      </w:r>
      <w:r>
        <w:fldChar w:fldCharType="end"/>
      </w:r>
    </w:p>
    <w:p w14:paraId="5E3DA992">
      <w:pPr>
        <w:pStyle w:val="16"/>
        <w:spacing w:line="240" w:lineRule="auto"/>
        <w:rPr>
          <w:rFonts w:asciiTheme="minorHAnsi" w:hAnsiTheme="minorHAnsi" w:eastAsiaTheme="minorEastAsia" w:cstheme="minorBidi"/>
          <w:sz w:val="21"/>
        </w:rPr>
      </w:pPr>
      <w:r>
        <w:fldChar w:fldCharType="begin"/>
      </w:r>
      <w:r>
        <w:instrText xml:space="preserve"> HYPERLINK \l "_Toc159926938" </w:instrText>
      </w:r>
      <w:r>
        <w:fldChar w:fldCharType="separate"/>
      </w:r>
      <w:r>
        <w:rPr>
          <w:rStyle w:val="26"/>
        </w:rPr>
        <w:t xml:space="preserve">6.2 </w:t>
      </w:r>
      <w:r>
        <w:rPr>
          <w:rStyle w:val="26"/>
          <w:rFonts w:hint="eastAsia"/>
        </w:rPr>
        <w:t>术语和定义</w:t>
      </w:r>
      <w:r>
        <w:tab/>
      </w:r>
      <w:r>
        <w:fldChar w:fldCharType="begin"/>
      </w:r>
      <w:r>
        <w:instrText xml:space="preserve"> PAGEREF _Toc159926938 \h </w:instrText>
      </w:r>
      <w:r>
        <w:fldChar w:fldCharType="separate"/>
      </w:r>
      <w:r>
        <w:t>17</w:t>
      </w:r>
      <w:r>
        <w:fldChar w:fldCharType="end"/>
      </w:r>
      <w:r>
        <w:fldChar w:fldCharType="end"/>
      </w:r>
    </w:p>
    <w:p w14:paraId="57F98BFB">
      <w:pPr>
        <w:pStyle w:val="16"/>
        <w:spacing w:line="240" w:lineRule="auto"/>
        <w:rPr>
          <w:rFonts w:asciiTheme="minorHAnsi" w:hAnsiTheme="minorHAnsi" w:eastAsiaTheme="minorEastAsia" w:cstheme="minorBidi"/>
          <w:sz w:val="21"/>
        </w:rPr>
      </w:pPr>
      <w:r>
        <w:fldChar w:fldCharType="begin"/>
      </w:r>
      <w:r>
        <w:instrText xml:space="preserve"> HYPERLINK \l "_Toc159926939" </w:instrText>
      </w:r>
      <w:r>
        <w:fldChar w:fldCharType="separate"/>
      </w:r>
      <w:r>
        <w:rPr>
          <w:rStyle w:val="26"/>
        </w:rPr>
        <w:t xml:space="preserve">6.3 </w:t>
      </w:r>
      <w:r>
        <w:rPr>
          <w:rStyle w:val="26"/>
          <w:rFonts w:hint="eastAsia"/>
        </w:rPr>
        <w:t>有机化工行业企业挥发性有机物排放分析</w:t>
      </w:r>
      <w:r>
        <w:tab/>
      </w:r>
      <w:r>
        <w:fldChar w:fldCharType="begin"/>
      </w:r>
      <w:r>
        <w:instrText xml:space="preserve"> PAGEREF _Toc159926939 \h </w:instrText>
      </w:r>
      <w:r>
        <w:fldChar w:fldCharType="separate"/>
      </w:r>
      <w:r>
        <w:t>17</w:t>
      </w:r>
      <w:r>
        <w:fldChar w:fldCharType="end"/>
      </w:r>
      <w:r>
        <w:fldChar w:fldCharType="end"/>
      </w:r>
    </w:p>
    <w:p w14:paraId="2070589B">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"_Toc159926940" </w:instrText>
      </w:r>
      <w:r>
        <w:fldChar w:fldCharType="separate"/>
      </w:r>
      <w:r>
        <w:rPr>
          <w:rStyle w:val="26"/>
        </w:rPr>
        <w:t xml:space="preserve">6.3.1 </w:t>
      </w:r>
      <w:r>
        <w:rPr>
          <w:rStyle w:val="26"/>
          <w:rFonts w:hint="eastAsia"/>
        </w:rPr>
        <w:t>典型生产工艺</w:t>
      </w:r>
      <w:r>
        <w:tab/>
      </w:r>
      <w:r>
        <w:fldChar w:fldCharType="begin"/>
      </w:r>
      <w:r>
        <w:instrText xml:space="preserve"> PAGEREF _Toc159926940 \h </w:instrText>
      </w:r>
      <w:r>
        <w:fldChar w:fldCharType="separate"/>
      </w:r>
      <w:r>
        <w:t>17</w:t>
      </w:r>
      <w:r>
        <w:fldChar w:fldCharType="end"/>
      </w:r>
      <w:r>
        <w:fldChar w:fldCharType="end"/>
      </w:r>
    </w:p>
    <w:p w14:paraId="7EC0D634">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"_Toc159926941" </w:instrText>
      </w:r>
      <w:r>
        <w:fldChar w:fldCharType="separate"/>
      </w:r>
      <w:r>
        <w:rPr>
          <w:rStyle w:val="26"/>
        </w:rPr>
        <w:t xml:space="preserve">6.3.2 </w:t>
      </w:r>
      <w:r>
        <w:rPr>
          <w:rStyle w:val="26"/>
          <w:rFonts w:hint="eastAsia"/>
        </w:rPr>
        <w:t>来源及排放形式</w:t>
      </w:r>
      <w:r>
        <w:tab/>
      </w:r>
      <w:r>
        <w:fldChar w:fldCharType="begin"/>
      </w:r>
      <w:r>
        <w:instrText xml:space="preserve"> PAGEREF _Toc159926941 \h </w:instrText>
      </w:r>
      <w:r>
        <w:fldChar w:fldCharType="separate"/>
      </w:r>
      <w:r>
        <w:t>18</w:t>
      </w:r>
      <w:r>
        <w:fldChar w:fldCharType="end"/>
      </w:r>
      <w:r>
        <w:fldChar w:fldCharType="end"/>
      </w:r>
    </w:p>
    <w:p w14:paraId="7C681AE3">
      <w:pPr>
        <w:pStyle w:val="16"/>
        <w:spacing w:line="240" w:lineRule="auto"/>
        <w:rPr>
          <w:rFonts w:asciiTheme="minorHAnsi" w:hAnsiTheme="minorHAnsi" w:eastAsiaTheme="minorEastAsia" w:cstheme="minorBidi"/>
          <w:sz w:val="21"/>
        </w:rPr>
      </w:pPr>
      <w:r>
        <w:fldChar w:fldCharType="begin"/>
      </w:r>
      <w:r>
        <w:instrText xml:space="preserve"> HYPERLINK \l "_Toc159926942" </w:instrText>
      </w:r>
      <w:r>
        <w:fldChar w:fldCharType="separate"/>
      </w:r>
      <w:r>
        <w:rPr>
          <w:rStyle w:val="26"/>
        </w:rPr>
        <w:t xml:space="preserve">6.4 </w:t>
      </w:r>
      <w:r>
        <w:rPr>
          <w:rStyle w:val="26"/>
          <w:rFonts w:hint="eastAsia"/>
        </w:rPr>
        <w:t>有机化工行业企业挥发性有机物污染预防技术</w:t>
      </w:r>
      <w:r>
        <w:tab/>
      </w:r>
      <w:r>
        <w:fldChar w:fldCharType="begin"/>
      </w:r>
      <w:r>
        <w:instrText xml:space="preserve"> PAGEREF _Toc159926942 \h </w:instrText>
      </w:r>
      <w:r>
        <w:fldChar w:fldCharType="separate"/>
      </w:r>
      <w:r>
        <w:t>18</w:t>
      </w:r>
      <w:r>
        <w:fldChar w:fldCharType="end"/>
      </w:r>
      <w:r>
        <w:fldChar w:fldCharType="end"/>
      </w:r>
    </w:p>
    <w:p w14:paraId="06EB31F8">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"_Toc159926943" </w:instrText>
      </w:r>
      <w:r>
        <w:fldChar w:fldCharType="separate"/>
      </w:r>
      <w:r>
        <w:rPr>
          <w:rStyle w:val="26"/>
        </w:rPr>
        <w:t xml:space="preserve">6.4.1 </w:t>
      </w:r>
      <w:r>
        <w:rPr>
          <w:rStyle w:val="26"/>
          <w:rFonts w:hint="eastAsia"/>
        </w:rPr>
        <w:t>源头削减</w:t>
      </w:r>
      <w:r>
        <w:tab/>
      </w:r>
      <w:r>
        <w:fldChar w:fldCharType="begin"/>
      </w:r>
      <w:r>
        <w:instrText xml:space="preserve"> PAGEREF _Toc159926943 \h </w:instrText>
      </w:r>
      <w:r>
        <w:fldChar w:fldCharType="separate"/>
      </w:r>
      <w:r>
        <w:t>19</w:t>
      </w:r>
      <w:r>
        <w:fldChar w:fldCharType="end"/>
      </w:r>
      <w:r>
        <w:fldChar w:fldCharType="end"/>
      </w:r>
    </w:p>
    <w:p w14:paraId="3D5CBAB8">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"_Toc159926944" </w:instrText>
      </w:r>
      <w:r>
        <w:fldChar w:fldCharType="separate"/>
      </w:r>
      <w:r>
        <w:rPr>
          <w:rStyle w:val="26"/>
        </w:rPr>
        <w:t xml:space="preserve">6.4.2 </w:t>
      </w:r>
      <w:r>
        <w:rPr>
          <w:rStyle w:val="26"/>
          <w:rFonts w:hint="eastAsia"/>
        </w:rPr>
        <w:t>装置及密封点</w:t>
      </w:r>
      <w:r>
        <w:tab/>
      </w:r>
      <w:r>
        <w:fldChar w:fldCharType="begin"/>
      </w:r>
      <w:r>
        <w:instrText xml:space="preserve"> PAGEREF _Toc159926944 \h </w:instrText>
      </w:r>
      <w:r>
        <w:fldChar w:fldCharType="separate"/>
      </w:r>
      <w:r>
        <w:t>19</w:t>
      </w:r>
      <w:r>
        <w:fldChar w:fldCharType="end"/>
      </w:r>
      <w:r>
        <w:fldChar w:fldCharType="end"/>
      </w:r>
    </w:p>
    <w:p w14:paraId="28D87412">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"_Toc159926945" </w:instrText>
      </w:r>
      <w:r>
        <w:fldChar w:fldCharType="separate"/>
      </w:r>
      <w:r>
        <w:rPr>
          <w:rStyle w:val="26"/>
        </w:rPr>
        <w:t>6.4.3 VOCs</w:t>
      </w:r>
      <w:r>
        <w:rPr>
          <w:rStyle w:val="26"/>
          <w:rFonts w:hint="eastAsia"/>
        </w:rPr>
        <w:t>原料存储和贮存</w:t>
      </w:r>
      <w:r>
        <w:tab/>
      </w:r>
      <w:r>
        <w:fldChar w:fldCharType="begin"/>
      </w:r>
      <w:r>
        <w:instrText xml:space="preserve"> PAGEREF _Toc159926945 \h </w:instrText>
      </w:r>
      <w:r>
        <w:fldChar w:fldCharType="separate"/>
      </w:r>
      <w:r>
        <w:t>20</w:t>
      </w:r>
      <w:r>
        <w:fldChar w:fldCharType="end"/>
      </w:r>
      <w:r>
        <w:fldChar w:fldCharType="end"/>
      </w:r>
    </w:p>
    <w:p w14:paraId="43628F4F">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"_Toc159926946" </w:instrText>
      </w:r>
      <w:r>
        <w:fldChar w:fldCharType="separate"/>
      </w:r>
      <w:r>
        <w:rPr>
          <w:rStyle w:val="26"/>
        </w:rPr>
        <w:t xml:space="preserve">6.4.4 </w:t>
      </w:r>
      <w:r>
        <w:rPr>
          <w:rStyle w:val="26"/>
          <w:rFonts w:hint="eastAsia"/>
        </w:rPr>
        <w:t>原料、产品装卸和输送</w:t>
      </w:r>
      <w:r>
        <w:tab/>
      </w:r>
      <w:r>
        <w:fldChar w:fldCharType="begin"/>
      </w:r>
      <w:r>
        <w:instrText xml:space="preserve"> PAGEREF _Toc159926946 \h </w:instrText>
      </w:r>
      <w:r>
        <w:fldChar w:fldCharType="separate"/>
      </w:r>
      <w:r>
        <w:t>20</w:t>
      </w:r>
      <w:r>
        <w:fldChar w:fldCharType="end"/>
      </w:r>
      <w:r>
        <w:fldChar w:fldCharType="end"/>
      </w:r>
    </w:p>
    <w:p w14:paraId="4310941A">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"_Toc159926947" </w:instrText>
      </w:r>
      <w:r>
        <w:fldChar w:fldCharType="separate"/>
      </w:r>
      <w:r>
        <w:rPr>
          <w:rStyle w:val="26"/>
        </w:rPr>
        <w:t xml:space="preserve">6.4.5 </w:t>
      </w:r>
      <w:r>
        <w:rPr>
          <w:rStyle w:val="26"/>
          <w:rFonts w:hint="eastAsia"/>
        </w:rPr>
        <w:t>物料投加及转移</w:t>
      </w:r>
      <w:r>
        <w:tab/>
      </w:r>
      <w:r>
        <w:fldChar w:fldCharType="begin"/>
      </w:r>
      <w:r>
        <w:instrText xml:space="preserve"> PAGEREF _Toc159926947 \h </w:instrText>
      </w:r>
      <w:r>
        <w:fldChar w:fldCharType="separate"/>
      </w:r>
      <w:r>
        <w:t>20</w:t>
      </w:r>
      <w:r>
        <w:fldChar w:fldCharType="end"/>
      </w:r>
      <w:r>
        <w:fldChar w:fldCharType="end"/>
      </w:r>
    </w:p>
    <w:p w14:paraId="4C062A71">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"_Toc159926948" </w:instrText>
      </w:r>
      <w:r>
        <w:fldChar w:fldCharType="separate"/>
      </w:r>
      <w:r>
        <w:rPr>
          <w:rStyle w:val="26"/>
        </w:rPr>
        <w:t xml:space="preserve">6.4.6 </w:t>
      </w:r>
      <w:r>
        <w:rPr>
          <w:rStyle w:val="26"/>
          <w:rFonts w:hint="eastAsia"/>
        </w:rPr>
        <w:t>混合及反应</w:t>
      </w:r>
      <w:r>
        <w:tab/>
      </w:r>
      <w:r>
        <w:fldChar w:fldCharType="begin"/>
      </w:r>
      <w:r>
        <w:instrText xml:space="preserve"> PAGEREF _Toc159926948 \h </w:instrText>
      </w:r>
      <w:r>
        <w:fldChar w:fldCharType="separate"/>
      </w:r>
      <w:r>
        <w:t>21</w:t>
      </w:r>
      <w:r>
        <w:fldChar w:fldCharType="end"/>
      </w:r>
      <w:r>
        <w:fldChar w:fldCharType="end"/>
      </w:r>
    </w:p>
    <w:p w14:paraId="0B28AFAE">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"_Toc159926949" </w:instrText>
      </w:r>
      <w:r>
        <w:fldChar w:fldCharType="separate"/>
      </w:r>
      <w:r>
        <w:rPr>
          <w:rStyle w:val="26"/>
        </w:rPr>
        <w:t xml:space="preserve">6.4.7 </w:t>
      </w:r>
      <w:r>
        <w:rPr>
          <w:rStyle w:val="26"/>
          <w:rFonts w:hint="eastAsia"/>
        </w:rPr>
        <w:t>物料分离与干燥</w:t>
      </w:r>
      <w:r>
        <w:tab/>
      </w:r>
      <w:r>
        <w:fldChar w:fldCharType="begin"/>
      </w:r>
      <w:r>
        <w:instrText xml:space="preserve"> PAGEREF _Toc159926949 \h </w:instrText>
      </w:r>
      <w:r>
        <w:fldChar w:fldCharType="separate"/>
      </w:r>
      <w:r>
        <w:t>22</w:t>
      </w:r>
      <w:r>
        <w:fldChar w:fldCharType="end"/>
      </w:r>
      <w:r>
        <w:fldChar w:fldCharType="end"/>
      </w:r>
    </w:p>
    <w:p w14:paraId="36F1181E">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"_Toc159926950" </w:instrText>
      </w:r>
      <w:r>
        <w:fldChar w:fldCharType="separate"/>
      </w:r>
      <w:r>
        <w:rPr>
          <w:rStyle w:val="26"/>
        </w:rPr>
        <w:t xml:space="preserve">6.4.8 </w:t>
      </w:r>
      <w:r>
        <w:rPr>
          <w:rStyle w:val="26"/>
          <w:rFonts w:hint="eastAsia"/>
        </w:rPr>
        <w:t>废水收集与处理</w:t>
      </w:r>
      <w:r>
        <w:tab/>
      </w:r>
      <w:r>
        <w:fldChar w:fldCharType="begin"/>
      </w:r>
      <w:r>
        <w:instrText xml:space="preserve"> PAGEREF _Toc159926950 \h </w:instrText>
      </w:r>
      <w:r>
        <w:fldChar w:fldCharType="separate"/>
      </w:r>
      <w:r>
        <w:t>22</w:t>
      </w:r>
      <w:r>
        <w:fldChar w:fldCharType="end"/>
      </w:r>
      <w:r>
        <w:fldChar w:fldCharType="end"/>
      </w:r>
    </w:p>
    <w:p w14:paraId="519AE225">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"_Toc159926951" </w:instrText>
      </w:r>
      <w:r>
        <w:fldChar w:fldCharType="separate"/>
      </w:r>
      <w:r>
        <w:rPr>
          <w:rStyle w:val="26"/>
        </w:rPr>
        <w:t xml:space="preserve">6.4.9 </w:t>
      </w:r>
      <w:r>
        <w:rPr>
          <w:rStyle w:val="26"/>
          <w:rFonts w:hint="eastAsia"/>
        </w:rPr>
        <w:t>危废储存</w:t>
      </w:r>
      <w:r>
        <w:tab/>
      </w:r>
      <w:r>
        <w:fldChar w:fldCharType="begin"/>
      </w:r>
      <w:r>
        <w:instrText xml:space="preserve"> PAGEREF _Toc159926951 \h </w:instrText>
      </w:r>
      <w:r>
        <w:fldChar w:fldCharType="separate"/>
      </w:r>
      <w:r>
        <w:t>22</w:t>
      </w:r>
      <w:r>
        <w:fldChar w:fldCharType="end"/>
      </w:r>
      <w:r>
        <w:fldChar w:fldCharType="end"/>
      </w:r>
    </w:p>
    <w:p w14:paraId="338AAD5D">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"_Toc159926952" </w:instrText>
      </w:r>
      <w:r>
        <w:fldChar w:fldCharType="separate"/>
      </w:r>
      <w:r>
        <w:rPr>
          <w:rStyle w:val="26"/>
        </w:rPr>
        <w:t xml:space="preserve">6.4.10 </w:t>
      </w:r>
      <w:r>
        <w:rPr>
          <w:rStyle w:val="26"/>
          <w:rFonts w:hint="eastAsia"/>
        </w:rPr>
        <w:t>非正常工况</w:t>
      </w:r>
      <w:r>
        <w:tab/>
      </w:r>
      <w:r>
        <w:fldChar w:fldCharType="begin"/>
      </w:r>
      <w:r>
        <w:instrText xml:space="preserve"> PAGEREF _Toc159926952 \h </w:instrText>
      </w:r>
      <w:r>
        <w:fldChar w:fldCharType="separate"/>
      </w:r>
      <w:r>
        <w:t>23</w:t>
      </w:r>
      <w:r>
        <w:fldChar w:fldCharType="end"/>
      </w:r>
      <w:r>
        <w:fldChar w:fldCharType="end"/>
      </w:r>
    </w:p>
    <w:p w14:paraId="2E963A84">
      <w:pPr>
        <w:pStyle w:val="16"/>
        <w:spacing w:line="240" w:lineRule="auto"/>
        <w:rPr>
          <w:rFonts w:asciiTheme="minorHAnsi" w:hAnsiTheme="minorHAnsi" w:eastAsiaTheme="minorEastAsia" w:cstheme="minorBidi"/>
          <w:sz w:val="21"/>
        </w:rPr>
      </w:pPr>
      <w:r>
        <w:fldChar w:fldCharType="begin"/>
      </w:r>
      <w:r>
        <w:instrText xml:space="preserve"> HYPERLINK \l "_Toc159926953" </w:instrText>
      </w:r>
      <w:r>
        <w:fldChar w:fldCharType="separate"/>
      </w:r>
      <w:r>
        <w:rPr>
          <w:rStyle w:val="26"/>
        </w:rPr>
        <w:t xml:space="preserve">6.5 </w:t>
      </w:r>
      <w:r>
        <w:rPr>
          <w:rStyle w:val="26"/>
          <w:rFonts w:hint="eastAsia"/>
        </w:rPr>
        <w:t>污染治理技术</w:t>
      </w:r>
      <w:r>
        <w:tab/>
      </w:r>
      <w:r>
        <w:fldChar w:fldCharType="begin"/>
      </w:r>
      <w:r>
        <w:instrText xml:space="preserve"> PAGEREF _Toc159926953 \h </w:instrText>
      </w:r>
      <w:r>
        <w:fldChar w:fldCharType="separate"/>
      </w:r>
      <w:r>
        <w:t>23</w:t>
      </w:r>
      <w:r>
        <w:fldChar w:fldCharType="end"/>
      </w:r>
      <w:r>
        <w:fldChar w:fldCharType="end"/>
      </w:r>
    </w:p>
    <w:p w14:paraId="234DAD2D">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"_Toc159926954" </w:instrText>
      </w:r>
      <w:r>
        <w:fldChar w:fldCharType="separate"/>
      </w:r>
      <w:r>
        <w:rPr>
          <w:rStyle w:val="26"/>
        </w:rPr>
        <w:t xml:space="preserve">6.5.1 </w:t>
      </w:r>
      <w:r>
        <w:rPr>
          <w:rStyle w:val="26"/>
          <w:rFonts w:hint="eastAsia"/>
        </w:rPr>
        <w:t>一般原则</w:t>
      </w:r>
      <w:r>
        <w:tab/>
      </w:r>
      <w:r>
        <w:fldChar w:fldCharType="begin"/>
      </w:r>
      <w:r>
        <w:instrText xml:space="preserve"> PAGEREF _Toc159926954 \h </w:instrText>
      </w:r>
      <w:r>
        <w:fldChar w:fldCharType="separate"/>
      </w:r>
      <w:r>
        <w:t>23</w:t>
      </w:r>
      <w:r>
        <w:fldChar w:fldCharType="end"/>
      </w:r>
      <w:r>
        <w:fldChar w:fldCharType="end"/>
      </w:r>
    </w:p>
    <w:p w14:paraId="295AF4FB">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"_Toc159926955" </w:instrText>
      </w:r>
      <w:r>
        <w:fldChar w:fldCharType="separate"/>
      </w:r>
      <w:r>
        <w:rPr>
          <w:rStyle w:val="26"/>
        </w:rPr>
        <w:t xml:space="preserve">6.5.2 </w:t>
      </w:r>
      <w:r>
        <w:rPr>
          <w:rStyle w:val="26"/>
          <w:rFonts w:hint="eastAsia"/>
        </w:rPr>
        <w:t>冷凝技术</w:t>
      </w:r>
      <w:r>
        <w:tab/>
      </w:r>
      <w:r>
        <w:fldChar w:fldCharType="begin"/>
      </w:r>
      <w:r>
        <w:instrText xml:space="preserve"> PAGEREF _Toc159926955 \h </w:instrText>
      </w:r>
      <w:r>
        <w:fldChar w:fldCharType="separate"/>
      </w:r>
      <w:r>
        <w:t>23</w:t>
      </w:r>
      <w:r>
        <w:fldChar w:fldCharType="end"/>
      </w:r>
      <w:r>
        <w:fldChar w:fldCharType="end"/>
      </w:r>
    </w:p>
    <w:p w14:paraId="2A193D85">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"_Toc159926956" </w:instrText>
      </w:r>
      <w:r>
        <w:fldChar w:fldCharType="separate"/>
      </w:r>
      <w:r>
        <w:rPr>
          <w:rStyle w:val="26"/>
        </w:rPr>
        <w:t xml:space="preserve">6.5.3 </w:t>
      </w:r>
      <w:r>
        <w:rPr>
          <w:rStyle w:val="26"/>
          <w:rFonts w:hint="eastAsia"/>
        </w:rPr>
        <w:t>喷淋吸收技术</w:t>
      </w:r>
      <w:r>
        <w:tab/>
      </w:r>
      <w:r>
        <w:fldChar w:fldCharType="begin"/>
      </w:r>
      <w:r>
        <w:instrText xml:space="preserve"> PAGEREF _Toc159926956 \h </w:instrText>
      </w:r>
      <w:r>
        <w:fldChar w:fldCharType="separate"/>
      </w:r>
      <w:r>
        <w:t>24</w:t>
      </w:r>
      <w:r>
        <w:fldChar w:fldCharType="end"/>
      </w:r>
      <w:r>
        <w:fldChar w:fldCharType="end"/>
      </w:r>
    </w:p>
    <w:p w14:paraId="28D2E95A">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"_Toc159926957" </w:instrText>
      </w:r>
      <w:r>
        <w:fldChar w:fldCharType="separate"/>
      </w:r>
      <w:r>
        <w:rPr>
          <w:rStyle w:val="26"/>
        </w:rPr>
        <w:t xml:space="preserve">6.5.4 </w:t>
      </w:r>
      <w:r>
        <w:rPr>
          <w:rStyle w:val="26"/>
          <w:rFonts w:hint="eastAsia"/>
        </w:rPr>
        <w:t>吸附技术</w:t>
      </w:r>
      <w:r>
        <w:tab/>
      </w:r>
      <w:r>
        <w:fldChar w:fldCharType="begin"/>
      </w:r>
      <w:r>
        <w:instrText xml:space="preserve"> PAGEREF _Toc159926957 \h </w:instrText>
      </w:r>
      <w:r>
        <w:fldChar w:fldCharType="separate"/>
      </w:r>
      <w:r>
        <w:t>24</w:t>
      </w:r>
      <w:r>
        <w:fldChar w:fldCharType="end"/>
      </w:r>
      <w:r>
        <w:fldChar w:fldCharType="end"/>
      </w:r>
    </w:p>
    <w:p w14:paraId="7138EB7B">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"_Toc159926958" </w:instrText>
      </w:r>
      <w:r>
        <w:fldChar w:fldCharType="separate"/>
      </w:r>
      <w:r>
        <w:rPr>
          <w:rStyle w:val="26"/>
        </w:rPr>
        <w:t xml:space="preserve">6.5.5 </w:t>
      </w:r>
      <w:r>
        <w:rPr>
          <w:rStyle w:val="26"/>
          <w:rFonts w:hint="eastAsia"/>
        </w:rPr>
        <w:t>燃烧技术</w:t>
      </w:r>
      <w:r>
        <w:tab/>
      </w:r>
      <w:r>
        <w:fldChar w:fldCharType="begin"/>
      </w:r>
      <w:r>
        <w:instrText xml:space="preserve"> PAGEREF _Toc159926958 \h </w:instrText>
      </w:r>
      <w:r>
        <w:fldChar w:fldCharType="separate"/>
      </w:r>
      <w:r>
        <w:t>25</w:t>
      </w:r>
      <w:r>
        <w:fldChar w:fldCharType="end"/>
      </w:r>
      <w:r>
        <w:fldChar w:fldCharType="end"/>
      </w:r>
    </w:p>
    <w:p w14:paraId="4BCEC9F7">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"_Toc159926959" </w:instrText>
      </w:r>
      <w:r>
        <w:fldChar w:fldCharType="separate"/>
      </w:r>
      <w:r>
        <w:rPr>
          <w:rStyle w:val="26"/>
        </w:rPr>
        <w:t xml:space="preserve">6.5.6 </w:t>
      </w:r>
      <w:r>
        <w:rPr>
          <w:rStyle w:val="26"/>
          <w:rFonts w:hint="eastAsia"/>
        </w:rPr>
        <w:t>膜分离技术</w:t>
      </w:r>
      <w:r>
        <w:tab/>
      </w:r>
      <w:r>
        <w:fldChar w:fldCharType="begin"/>
      </w:r>
      <w:r>
        <w:instrText xml:space="preserve"> PAGEREF _Toc159926959 \h </w:instrText>
      </w:r>
      <w:r>
        <w:fldChar w:fldCharType="separate"/>
      </w:r>
      <w:r>
        <w:t>26</w:t>
      </w:r>
      <w:r>
        <w:fldChar w:fldCharType="end"/>
      </w:r>
      <w:r>
        <w:fldChar w:fldCharType="end"/>
      </w:r>
    </w:p>
    <w:p w14:paraId="75D064DE">
      <w:pPr>
        <w:pStyle w:val="11"/>
        <w:tabs>
          <w:tab w:val="right" w:leader="dot" w:pos="8733"/>
        </w:tabs>
        <w:spacing w:line="240" w:lineRule="auto"/>
        <w:ind w:leftChars="350" w:firstLine="199" w:firstLineChars="83"/>
        <w:rPr>
          <w:rFonts w:asciiTheme="minorHAnsi" w:hAnsiTheme="minorHAnsi" w:eastAsiaTheme="minorEastAsia" w:cstheme="minorBidi"/>
          <w:sz w:val="21"/>
        </w:rPr>
      </w:pPr>
      <w:r>
        <w:fldChar w:fldCharType="begin"/>
      </w:r>
      <w:r>
        <w:instrText xml:space="preserve"> HYPERLINK \l "_Toc159926960" </w:instrText>
      </w:r>
      <w:r>
        <w:fldChar w:fldCharType="separate"/>
      </w:r>
      <w:r>
        <w:rPr>
          <w:rStyle w:val="26"/>
        </w:rPr>
        <w:t xml:space="preserve">6.5.7 </w:t>
      </w:r>
      <w:r>
        <w:rPr>
          <w:rStyle w:val="26"/>
          <w:rFonts w:hint="eastAsia"/>
        </w:rPr>
        <w:t>生物技术</w:t>
      </w:r>
      <w:r>
        <w:tab/>
      </w:r>
      <w:r>
        <w:fldChar w:fldCharType="begin"/>
      </w:r>
      <w:r>
        <w:instrText xml:space="preserve"> PAGEREF _Toc159926960 \h </w:instrText>
      </w:r>
      <w:r>
        <w:fldChar w:fldCharType="separate"/>
      </w:r>
      <w:r>
        <w:t>27</w:t>
      </w:r>
      <w:r>
        <w:fldChar w:fldCharType="end"/>
      </w:r>
      <w:r>
        <w:fldChar w:fldCharType="end"/>
      </w:r>
    </w:p>
    <w:p w14:paraId="3308A4EC">
      <w:pPr>
        <w:pStyle w:val="16"/>
        <w:spacing w:line="240" w:lineRule="auto"/>
        <w:rPr>
          <w:rFonts w:asciiTheme="minorHAnsi" w:hAnsiTheme="minorHAnsi" w:eastAsiaTheme="minorEastAsia" w:cstheme="minorBidi"/>
          <w:sz w:val="21"/>
        </w:rPr>
      </w:pPr>
      <w:r>
        <w:fldChar w:fldCharType="begin"/>
      </w:r>
      <w:r>
        <w:instrText xml:space="preserve"> HYPERLINK \l "_Toc159926961" </w:instrText>
      </w:r>
      <w:r>
        <w:fldChar w:fldCharType="separate"/>
      </w:r>
      <w:r>
        <w:rPr>
          <w:rStyle w:val="26"/>
        </w:rPr>
        <w:t xml:space="preserve">6.6 </w:t>
      </w:r>
      <w:r>
        <w:rPr>
          <w:rStyle w:val="26"/>
          <w:rFonts w:hint="eastAsia"/>
        </w:rPr>
        <w:t>环境管理措施</w:t>
      </w:r>
      <w:r>
        <w:tab/>
      </w:r>
      <w:r>
        <w:fldChar w:fldCharType="begin"/>
      </w:r>
      <w:r>
        <w:instrText xml:space="preserve"> PAGEREF _Toc159926961 \h </w:instrText>
      </w:r>
      <w:r>
        <w:fldChar w:fldCharType="separate"/>
      </w:r>
      <w:r>
        <w:t>27</w:t>
      </w:r>
      <w:r>
        <w:fldChar w:fldCharType="end"/>
      </w:r>
      <w:r>
        <w:fldChar w:fldCharType="end"/>
      </w:r>
    </w:p>
    <w:p w14:paraId="35AD2406">
      <w:pPr>
        <w:pStyle w:val="16"/>
        <w:spacing w:line="240" w:lineRule="auto"/>
        <w:rPr>
          <w:rFonts w:asciiTheme="minorHAnsi" w:hAnsiTheme="minorHAnsi" w:eastAsiaTheme="minorEastAsia" w:cstheme="minorBidi"/>
          <w:sz w:val="21"/>
        </w:rPr>
      </w:pPr>
      <w:r>
        <w:fldChar w:fldCharType="begin"/>
      </w:r>
      <w:r>
        <w:instrText xml:space="preserve"> HYPERLINK \l "_Toc159926962" </w:instrText>
      </w:r>
      <w:r>
        <w:fldChar w:fldCharType="separate"/>
      </w:r>
      <w:r>
        <w:rPr>
          <w:rStyle w:val="26"/>
        </w:rPr>
        <w:t>6.7 VOCs</w:t>
      </w:r>
      <w:r>
        <w:rPr>
          <w:rStyle w:val="26"/>
          <w:rFonts w:hint="eastAsia"/>
        </w:rPr>
        <w:t>污染可行技术</w:t>
      </w:r>
      <w:r>
        <w:tab/>
      </w:r>
      <w:r>
        <w:fldChar w:fldCharType="begin"/>
      </w:r>
      <w:r>
        <w:instrText xml:space="preserve"> PAGEREF _Toc159926962 \h </w:instrText>
      </w:r>
      <w:r>
        <w:fldChar w:fldCharType="separate"/>
      </w:r>
      <w:r>
        <w:t>27</w:t>
      </w:r>
      <w:r>
        <w:fldChar w:fldCharType="end"/>
      </w:r>
      <w:r>
        <w:fldChar w:fldCharType="end"/>
      </w:r>
    </w:p>
    <w:p w14:paraId="25FA3CF1">
      <w:pPr>
        <w:pStyle w:val="15"/>
        <w:spacing w:line="240" w:lineRule="auto"/>
        <w:rPr>
          <w:rFonts w:asciiTheme="minorHAnsi" w:hAnsiTheme="minorHAnsi" w:eastAsiaTheme="minorEastAsia" w:cstheme="minorBidi"/>
          <w:sz w:val="21"/>
        </w:rPr>
      </w:pPr>
      <w:r>
        <w:fldChar w:fldCharType="begin"/>
      </w:r>
      <w:r>
        <w:instrText xml:space="preserve"> HYPERLINK \l "_Toc159926963" </w:instrText>
      </w:r>
      <w:r>
        <w:fldChar w:fldCharType="separate"/>
      </w:r>
      <w:r>
        <w:rPr>
          <w:rStyle w:val="26"/>
        </w:rPr>
        <w:t xml:space="preserve">7 </w:t>
      </w:r>
      <w:r>
        <w:rPr>
          <w:rStyle w:val="26"/>
          <w:rFonts w:hint="eastAsia"/>
        </w:rPr>
        <w:t>标准实施的环境、经济效益分析</w:t>
      </w:r>
      <w:r>
        <w:tab/>
      </w:r>
      <w:r>
        <w:fldChar w:fldCharType="begin"/>
      </w:r>
      <w:r>
        <w:instrText xml:space="preserve"> PAGEREF _Toc159926963 \h </w:instrText>
      </w:r>
      <w:r>
        <w:fldChar w:fldCharType="separate"/>
      </w:r>
      <w:r>
        <w:t>29</w:t>
      </w:r>
      <w:r>
        <w:fldChar w:fldCharType="end"/>
      </w:r>
      <w:r>
        <w:fldChar w:fldCharType="end"/>
      </w:r>
    </w:p>
    <w:p w14:paraId="7271F41D">
      <w:pPr>
        <w:pStyle w:val="16"/>
        <w:spacing w:line="240" w:lineRule="auto"/>
        <w:rPr>
          <w:rFonts w:asciiTheme="minorHAnsi" w:hAnsiTheme="minorHAnsi" w:eastAsiaTheme="minorEastAsia" w:cstheme="minorBidi"/>
          <w:sz w:val="21"/>
        </w:rPr>
      </w:pPr>
      <w:r>
        <w:fldChar w:fldCharType="begin"/>
      </w:r>
      <w:r>
        <w:instrText xml:space="preserve"> HYPERLINK \l "_Toc159926964" </w:instrText>
      </w:r>
      <w:r>
        <w:fldChar w:fldCharType="separate"/>
      </w:r>
      <w:r>
        <w:rPr>
          <w:rStyle w:val="26"/>
        </w:rPr>
        <w:t xml:space="preserve">7.1 </w:t>
      </w:r>
      <w:r>
        <w:rPr>
          <w:rStyle w:val="26"/>
          <w:rFonts w:hint="eastAsia"/>
        </w:rPr>
        <w:t>环境效益分析</w:t>
      </w:r>
      <w:r>
        <w:tab/>
      </w:r>
      <w:r>
        <w:fldChar w:fldCharType="begin"/>
      </w:r>
      <w:r>
        <w:instrText xml:space="preserve"> PAGEREF _Toc159926964 \h </w:instrText>
      </w:r>
      <w:r>
        <w:fldChar w:fldCharType="separate"/>
      </w:r>
      <w:r>
        <w:t>29</w:t>
      </w:r>
      <w:r>
        <w:fldChar w:fldCharType="end"/>
      </w:r>
      <w:r>
        <w:fldChar w:fldCharType="end"/>
      </w:r>
    </w:p>
    <w:p w14:paraId="257179C7">
      <w:pPr>
        <w:pStyle w:val="16"/>
        <w:spacing w:line="240" w:lineRule="auto"/>
        <w:rPr>
          <w:rFonts w:asciiTheme="minorHAnsi" w:hAnsiTheme="minorHAnsi" w:eastAsiaTheme="minorEastAsia" w:cstheme="minorBidi"/>
          <w:sz w:val="21"/>
        </w:rPr>
      </w:pPr>
      <w:r>
        <w:fldChar w:fldCharType="begin"/>
      </w:r>
      <w:r>
        <w:instrText xml:space="preserve"> HYPERLINK \l "_Toc159926965" </w:instrText>
      </w:r>
      <w:r>
        <w:fldChar w:fldCharType="separate"/>
      </w:r>
      <w:r>
        <w:rPr>
          <w:rStyle w:val="26"/>
        </w:rPr>
        <w:t xml:space="preserve">7.2 </w:t>
      </w:r>
      <w:r>
        <w:rPr>
          <w:rStyle w:val="26"/>
          <w:rFonts w:hint="eastAsia"/>
        </w:rPr>
        <w:t>经济效益分析</w:t>
      </w:r>
      <w:r>
        <w:tab/>
      </w:r>
      <w:r>
        <w:fldChar w:fldCharType="begin"/>
      </w:r>
      <w:r>
        <w:instrText xml:space="preserve"> PAGEREF _Toc159926965 \h </w:instrText>
      </w:r>
      <w:r>
        <w:fldChar w:fldCharType="separate"/>
      </w:r>
      <w:r>
        <w:t>29</w:t>
      </w:r>
      <w:r>
        <w:fldChar w:fldCharType="end"/>
      </w:r>
      <w:r>
        <w:fldChar w:fldCharType="end"/>
      </w:r>
    </w:p>
    <w:p w14:paraId="56CC51DF">
      <w:pPr>
        <w:spacing w:line="240" w:lineRule="auto"/>
        <w:ind w:firstLine="0" w:firstLineChars="0"/>
        <w:sectPr>
          <w:footerReference r:id="rId11" w:type="default"/>
          <w:pgSz w:w="11907" w:h="16840"/>
          <w:pgMar w:top="1418" w:right="1582" w:bottom="1378" w:left="1582" w:header="851" w:footer="992" w:gutter="0"/>
          <w:pgNumType w:fmt="upperRoman" w:start="1"/>
          <w:cols w:space="720" w:num="1"/>
          <w:docGrid w:linePitch="326" w:charSpace="0"/>
        </w:sectPr>
      </w:pPr>
      <w:r>
        <w:fldChar w:fldCharType="end"/>
      </w:r>
    </w:p>
    <w:p w14:paraId="0E6DE218">
      <w:pPr>
        <w:pStyle w:val="3"/>
        <w:rPr>
          <w:rFonts w:eastAsia="仿宋"/>
        </w:rPr>
      </w:pPr>
      <w:bookmarkStart w:id="0" w:name="_Toc159926911"/>
      <w:r>
        <w:rPr>
          <w:rFonts w:eastAsia="仿宋"/>
        </w:rPr>
        <w:t>1 项目背景</w:t>
      </w:r>
      <w:bookmarkEnd w:id="0"/>
    </w:p>
    <w:p w14:paraId="684D348D">
      <w:pPr>
        <w:pStyle w:val="4"/>
        <w:spacing w:before="0" w:after="0"/>
        <w:rPr>
          <w:rFonts w:ascii="Times New Roman" w:hAnsi="Times New Roman"/>
        </w:rPr>
      </w:pPr>
      <w:bookmarkStart w:id="1" w:name="_Toc1210"/>
      <w:bookmarkStart w:id="2" w:name="_Toc525723206"/>
      <w:bookmarkStart w:id="3" w:name="_Toc523001158"/>
      <w:bookmarkStart w:id="4" w:name="_Toc159926912"/>
      <w:bookmarkStart w:id="5" w:name="_Toc20393"/>
      <w:bookmarkStart w:id="6" w:name="_Toc15668"/>
      <w:r>
        <w:rPr>
          <w:rFonts w:ascii="Times New Roman" w:hAnsi="Times New Roman"/>
        </w:rPr>
        <w:t>1.1 任务</w:t>
      </w:r>
      <w:bookmarkEnd w:id="1"/>
      <w:bookmarkEnd w:id="2"/>
      <w:bookmarkEnd w:id="3"/>
      <w:r>
        <w:rPr>
          <w:rFonts w:ascii="Times New Roman" w:hAnsi="Times New Roman"/>
        </w:rPr>
        <w:t>来源</w:t>
      </w:r>
      <w:bookmarkEnd w:id="4"/>
      <w:bookmarkEnd w:id="5"/>
      <w:bookmarkEnd w:id="6"/>
    </w:p>
    <w:p w14:paraId="63BAA9BF">
      <w:pPr>
        <w:snapToGrid w:val="0"/>
        <w:ind w:firstLine="376"/>
        <w:rPr>
          <w:color w:val="FF0000"/>
          <w:szCs w:val="28"/>
        </w:rPr>
      </w:pPr>
      <w:r>
        <w:rPr>
          <w:spacing w:val="-26"/>
          <w:szCs w:val="28"/>
        </w:rPr>
        <w:t>根</w:t>
      </w:r>
      <w:r>
        <w:rPr>
          <w:spacing w:val="-17"/>
          <w:szCs w:val="28"/>
        </w:rPr>
        <w:t>据</w:t>
      </w:r>
      <w:r>
        <w:rPr>
          <w:spacing w:val="-13"/>
          <w:szCs w:val="28"/>
        </w:rPr>
        <w:t>《中华人民共和国大气污染防治法》、《大气污染防治行动计</w:t>
      </w:r>
      <w:r>
        <w:rPr>
          <w:spacing w:val="-22"/>
          <w:szCs w:val="28"/>
        </w:rPr>
        <w:t>划</w:t>
      </w:r>
      <w:r>
        <w:rPr>
          <w:spacing w:val="-21"/>
          <w:szCs w:val="28"/>
        </w:rPr>
        <w:t>》、《“十三五”挥发性有机物污染防治工作方案》、《江西省大气污</w:t>
      </w:r>
      <w:r>
        <w:rPr>
          <w:spacing w:val="-11"/>
          <w:szCs w:val="28"/>
        </w:rPr>
        <w:t>染防治条例》的要求，挥发性有机物（VOCs）的治理已成为环境保护</w:t>
      </w:r>
      <w:r>
        <w:rPr>
          <w:spacing w:val="-28"/>
          <w:szCs w:val="28"/>
        </w:rPr>
        <w:t>的</w:t>
      </w:r>
      <w:r>
        <w:rPr>
          <w:spacing w:val="-16"/>
          <w:szCs w:val="28"/>
        </w:rPr>
        <w:t>重</w:t>
      </w:r>
      <w:r>
        <w:rPr>
          <w:spacing w:val="-14"/>
          <w:szCs w:val="28"/>
        </w:rPr>
        <w:t>点工作。2013年12月，江西省人民政府印发了《江西省落实大</w:t>
      </w:r>
      <w:r>
        <w:rPr>
          <w:spacing w:val="1"/>
          <w:szCs w:val="28"/>
        </w:rPr>
        <w:t>气污染防治行动计划实施细则》(赣府发〔2013〕4</w:t>
      </w:r>
      <w:r>
        <w:rPr>
          <w:szCs w:val="28"/>
        </w:rPr>
        <w:t>1号)，明确提出</w:t>
      </w:r>
      <w:r>
        <w:rPr>
          <w:spacing w:val="-6"/>
          <w:szCs w:val="28"/>
        </w:rPr>
        <w:t>推进挥发</w:t>
      </w:r>
      <w:r>
        <w:rPr>
          <w:spacing w:val="-5"/>
          <w:szCs w:val="28"/>
        </w:rPr>
        <w:t>性</w:t>
      </w:r>
      <w:r>
        <w:rPr>
          <w:spacing w:val="-3"/>
          <w:szCs w:val="28"/>
        </w:rPr>
        <w:t>有机物污染治理。2018年，江西省人民政府办公厅印发</w:t>
      </w:r>
      <w:r>
        <w:rPr>
          <w:spacing w:val="-4"/>
          <w:szCs w:val="28"/>
        </w:rPr>
        <w:t>了《江西省人民政府办公厅关于印发江西省打赢蓝天保卫战三年行</w:t>
      </w:r>
      <w:r>
        <w:rPr>
          <w:szCs w:val="28"/>
        </w:rPr>
        <w:t>动</w:t>
      </w:r>
      <w:r>
        <w:rPr>
          <w:spacing w:val="-6"/>
          <w:szCs w:val="28"/>
        </w:rPr>
        <w:t>计</w:t>
      </w:r>
      <w:r>
        <w:rPr>
          <w:spacing w:val="-5"/>
          <w:szCs w:val="28"/>
        </w:rPr>
        <w:t>划</w:t>
      </w:r>
      <w:r>
        <w:rPr>
          <w:spacing w:val="-3"/>
          <w:szCs w:val="28"/>
        </w:rPr>
        <w:t>（2018－2020年）的通知》。为打赢我省蓝天保卫战，确保完成</w:t>
      </w:r>
      <w:r>
        <w:rPr>
          <w:spacing w:val="-7"/>
          <w:szCs w:val="28"/>
        </w:rPr>
        <w:t>VOCs的治理任务，完善我省环境保护管理体系，规范工业企业VOCs</w:t>
      </w:r>
      <w:r>
        <w:rPr>
          <w:spacing w:val="1"/>
          <w:szCs w:val="28"/>
        </w:rPr>
        <w:t>排放，实现</w:t>
      </w:r>
      <w:r>
        <w:rPr>
          <w:szCs w:val="28"/>
        </w:rPr>
        <w:t>VOCs</w:t>
      </w:r>
      <w:r>
        <w:rPr>
          <w:spacing w:val="1"/>
          <w:szCs w:val="28"/>
        </w:rPr>
        <w:t>科学监管。根据</w:t>
      </w:r>
      <w:r>
        <w:rPr>
          <w:rFonts w:hint="eastAsia"/>
          <w:spacing w:val="1"/>
          <w:szCs w:val="28"/>
          <w:lang w:eastAsia="zh-CN"/>
        </w:rPr>
        <w:t>生态环境部</w:t>
      </w:r>
      <w:r>
        <w:rPr>
          <w:spacing w:val="1"/>
          <w:szCs w:val="28"/>
        </w:rPr>
        <w:t>(原环境</w:t>
      </w:r>
      <w:r>
        <w:rPr>
          <w:szCs w:val="28"/>
        </w:rPr>
        <w:t>保护</w:t>
      </w:r>
      <w:r>
        <w:rPr>
          <w:spacing w:val="-5"/>
          <w:szCs w:val="28"/>
        </w:rPr>
        <w:t>部</w:t>
      </w:r>
      <w:r>
        <w:rPr>
          <w:spacing w:val="-3"/>
          <w:szCs w:val="28"/>
        </w:rPr>
        <w:t>)《关于加强地方环保标准工作的指导意见》(环发〔2014〕49号)</w:t>
      </w:r>
      <w:r>
        <w:rPr>
          <w:spacing w:val="-16"/>
          <w:szCs w:val="28"/>
        </w:rPr>
        <w:t>等</w:t>
      </w:r>
      <w:r>
        <w:rPr>
          <w:spacing w:val="-8"/>
          <w:szCs w:val="28"/>
        </w:rPr>
        <w:t>文件规定。按照省委、省政府要求，为全面做好</w:t>
      </w:r>
      <w:r>
        <w:rPr>
          <w:szCs w:val="28"/>
        </w:rPr>
        <w:t>江西省</w:t>
      </w:r>
      <w:r>
        <w:rPr>
          <w:spacing w:val="-8"/>
          <w:szCs w:val="28"/>
        </w:rPr>
        <w:t>十四五大气污染防治工作，《</w:t>
      </w:r>
      <w:r>
        <w:rPr>
          <w:rFonts w:hint="eastAsia"/>
          <w:spacing w:val="-8"/>
          <w:szCs w:val="28"/>
        </w:rPr>
        <w:t>江西省市场监管局关于下达2025年第一批江西省地方标准制修订计划的通知》</w:t>
      </w:r>
      <w:r>
        <w:rPr>
          <w:spacing w:val="-8"/>
          <w:szCs w:val="28"/>
        </w:rPr>
        <w:t>将《挥发性有机物污染防治技术指南（试行）第2部分：有机化工行业》列入202</w:t>
      </w:r>
      <w:r>
        <w:rPr>
          <w:rFonts w:hint="eastAsia"/>
          <w:spacing w:val="-8"/>
          <w:szCs w:val="28"/>
        </w:rPr>
        <w:t>5</w:t>
      </w:r>
      <w:r>
        <w:rPr>
          <w:spacing w:val="-8"/>
          <w:szCs w:val="28"/>
        </w:rPr>
        <w:t>年度地方标准制定计划，项目计划编号DB36-2025-1-12，起草单位为江西省生态环境科学研究与规划院。</w:t>
      </w:r>
    </w:p>
    <w:p w14:paraId="235D89AC">
      <w:pPr>
        <w:pStyle w:val="4"/>
        <w:spacing w:before="0" w:after="0"/>
        <w:rPr>
          <w:rFonts w:ascii="Times New Roman" w:hAnsi="Times New Roman"/>
          <w:b w:val="0"/>
        </w:rPr>
      </w:pPr>
      <w:bookmarkStart w:id="7" w:name="_Toc18803"/>
      <w:bookmarkStart w:id="8" w:name="_Toc159926913"/>
      <w:bookmarkStart w:id="9" w:name="_Toc12249"/>
      <w:r>
        <w:rPr>
          <w:rFonts w:ascii="Times New Roman" w:hAnsi="Times New Roman"/>
        </w:rPr>
        <w:t>1.2 工作背景</w:t>
      </w:r>
      <w:bookmarkEnd w:id="7"/>
      <w:bookmarkEnd w:id="8"/>
      <w:bookmarkEnd w:id="9"/>
    </w:p>
    <w:p w14:paraId="3D957F19">
      <w:pPr>
        <w:snapToGrid w:val="0"/>
        <w:ind w:firstLine="480"/>
        <w:rPr>
          <w:color w:val="252525"/>
          <w:szCs w:val="28"/>
          <w:shd w:val="clear" w:color="auto" w:fill="FFFFFF"/>
        </w:rPr>
      </w:pPr>
      <w:r>
        <w:rPr>
          <w:color w:val="252525"/>
          <w:szCs w:val="28"/>
          <w:shd w:val="clear" w:color="auto" w:fill="FFFFFF"/>
        </w:rPr>
        <w:t>根据近年来的江西省（生态）环境状况公报，细颗粒物（PM</w:t>
      </w:r>
      <w:r>
        <w:rPr>
          <w:color w:val="252525"/>
          <w:szCs w:val="28"/>
          <w:shd w:val="clear" w:color="auto" w:fill="FFFFFF"/>
          <w:vertAlign w:val="subscript"/>
        </w:rPr>
        <w:t>2.5</w:t>
      </w:r>
      <w:r>
        <w:rPr>
          <w:color w:val="252525"/>
          <w:szCs w:val="28"/>
          <w:shd w:val="clear" w:color="auto" w:fill="FFFFFF"/>
        </w:rPr>
        <w:t>）和臭氧O</w:t>
      </w:r>
      <w:r>
        <w:rPr>
          <w:color w:val="252525"/>
          <w:szCs w:val="28"/>
          <w:shd w:val="clear" w:color="auto" w:fill="FFFFFF"/>
          <w:vertAlign w:val="subscript"/>
        </w:rPr>
        <w:t>3</w:t>
      </w:r>
      <w:r>
        <w:rPr>
          <w:color w:val="252525"/>
          <w:szCs w:val="28"/>
          <w:shd w:val="clear" w:color="auto" w:fill="FFFFFF"/>
        </w:rPr>
        <w:t>一直是我省的主要污染物，我省PM</w:t>
      </w:r>
      <w:r>
        <w:rPr>
          <w:color w:val="252525"/>
          <w:szCs w:val="28"/>
          <w:shd w:val="clear" w:color="auto" w:fill="FFFFFF"/>
          <w:vertAlign w:val="subscript"/>
        </w:rPr>
        <w:t>2.5</w:t>
      </w:r>
      <w:r>
        <w:rPr>
          <w:color w:val="252525"/>
          <w:szCs w:val="28"/>
          <w:shd w:val="clear" w:color="auto" w:fill="FFFFFF"/>
        </w:rPr>
        <w:t>进入瓶颈期，臭氧问题日益突出。</w:t>
      </w:r>
      <w:r>
        <w:rPr>
          <w:szCs w:val="28"/>
        </w:rPr>
        <w:t>2017年以来，臭氧已成为我省除PM</w:t>
      </w:r>
      <w:r>
        <w:rPr>
          <w:szCs w:val="28"/>
          <w:vertAlign w:val="subscript"/>
        </w:rPr>
        <w:t>2.5</w:t>
      </w:r>
      <w:r>
        <w:rPr>
          <w:szCs w:val="28"/>
        </w:rPr>
        <w:t>以外的主要污染因子，臭氧呈现出“占比增加、时间提前、区域扩大”趋势特征。</w:t>
      </w:r>
      <w:r>
        <w:rPr>
          <w:color w:val="252525"/>
          <w:szCs w:val="28"/>
          <w:shd w:val="clear" w:color="auto" w:fill="FFFFFF"/>
        </w:rPr>
        <w:t>根据国内外研究表明，挥发性有机物（VOCs）是形成细颗粒物（PM</w:t>
      </w:r>
      <w:r>
        <w:rPr>
          <w:color w:val="252525"/>
          <w:szCs w:val="28"/>
          <w:shd w:val="clear" w:color="auto" w:fill="FFFFFF"/>
          <w:vertAlign w:val="subscript"/>
        </w:rPr>
        <w:t>2.5</w:t>
      </w:r>
      <w:r>
        <w:rPr>
          <w:color w:val="252525"/>
          <w:szCs w:val="28"/>
          <w:shd w:val="clear" w:color="auto" w:fill="FFFFFF"/>
        </w:rPr>
        <w:t>）和臭氧（O</w:t>
      </w:r>
      <w:r>
        <w:rPr>
          <w:color w:val="252525"/>
          <w:szCs w:val="28"/>
          <w:shd w:val="clear" w:color="auto" w:fill="FFFFFF"/>
          <w:vertAlign w:val="subscript"/>
        </w:rPr>
        <w:t>3</w:t>
      </w:r>
      <w:r>
        <w:rPr>
          <w:color w:val="252525"/>
          <w:szCs w:val="28"/>
          <w:shd w:val="clear" w:color="auto" w:fill="FFFFFF"/>
        </w:rPr>
        <w:t>）的重要前体物质，对环境空气质量影响较大。除影响环境质量外，一些行业排放的VOCs含有三苯类、卤代烃类、硝基苯类、苯胺类等物质，对人体健康具有较大的危害。因此，有效控制VOCs排放迫在眉睫。</w:t>
      </w:r>
    </w:p>
    <w:p w14:paraId="053E5C22">
      <w:pPr>
        <w:snapToGrid w:val="0"/>
        <w:ind w:firstLine="528"/>
        <w:rPr>
          <w:szCs w:val="28"/>
        </w:rPr>
      </w:pPr>
      <w:r>
        <w:rPr>
          <w:spacing w:val="12"/>
          <w:szCs w:val="28"/>
        </w:rPr>
        <w:t>挥</w:t>
      </w:r>
      <w:r>
        <w:rPr>
          <w:spacing w:val="11"/>
          <w:szCs w:val="28"/>
        </w:rPr>
        <w:t>发</w:t>
      </w:r>
      <w:r>
        <w:rPr>
          <w:spacing w:val="6"/>
          <w:szCs w:val="28"/>
        </w:rPr>
        <w:t>性有机物在环境空气中普遍存在，其来源有天然源和人为</w:t>
      </w:r>
      <w:r>
        <w:rPr>
          <w:spacing w:val="-22"/>
          <w:szCs w:val="28"/>
        </w:rPr>
        <w:t>源</w:t>
      </w:r>
      <w:r>
        <w:rPr>
          <w:spacing w:val="-16"/>
          <w:szCs w:val="28"/>
        </w:rPr>
        <w:t>，</w:t>
      </w:r>
      <w:r>
        <w:rPr>
          <w:spacing w:val="-11"/>
          <w:szCs w:val="28"/>
        </w:rPr>
        <w:t>从世界范围分析，环境</w:t>
      </w:r>
      <w:r>
        <w:rPr>
          <w:color w:val="252525"/>
          <w:szCs w:val="28"/>
          <w:shd w:val="clear" w:color="auto" w:fill="FFFFFF"/>
        </w:rPr>
        <w:t>空气</w:t>
      </w:r>
      <w:r>
        <w:rPr>
          <w:spacing w:val="-11"/>
          <w:szCs w:val="28"/>
        </w:rPr>
        <w:t>中挥发性有机物的80%来自天然源的</w:t>
      </w:r>
      <w:r>
        <w:rPr>
          <w:spacing w:val="-14"/>
          <w:szCs w:val="28"/>
        </w:rPr>
        <w:t>释放，</w:t>
      </w:r>
      <w:r>
        <w:rPr>
          <w:spacing w:val="-7"/>
          <w:szCs w:val="28"/>
        </w:rPr>
        <w:t>如森林、植被、海洋等，20%来源于人为活动的排放，如工业</w:t>
      </w:r>
      <w:r>
        <w:rPr>
          <w:spacing w:val="-2"/>
          <w:szCs w:val="28"/>
        </w:rPr>
        <w:t>生产、燃料燃烧、交通工</w:t>
      </w:r>
      <w:r>
        <w:rPr>
          <w:spacing w:val="-1"/>
          <w:szCs w:val="28"/>
        </w:rPr>
        <w:t>具排放等。</w:t>
      </w:r>
      <w:r>
        <w:rPr>
          <w:spacing w:val="-6"/>
          <w:szCs w:val="28"/>
        </w:rPr>
        <w:t>根据2</w:t>
      </w:r>
      <w:r>
        <w:rPr>
          <w:spacing w:val="-5"/>
          <w:szCs w:val="28"/>
        </w:rPr>
        <w:t>0</w:t>
      </w:r>
      <w:r>
        <w:rPr>
          <w:spacing w:val="-3"/>
          <w:szCs w:val="28"/>
        </w:rPr>
        <w:t>19年国家环保组织的调查结果，工业源VOCs为最主要的排放源，化工、石油、建筑和溶剂使用所占比例较大。近年来各</w:t>
      </w:r>
      <w:r>
        <w:rPr>
          <w:spacing w:val="-1"/>
          <w:szCs w:val="28"/>
        </w:rPr>
        <w:t>行</w:t>
      </w:r>
      <w:r>
        <w:rPr>
          <w:spacing w:val="-3"/>
          <w:szCs w:val="28"/>
        </w:rPr>
        <w:t>业挥发性有机物排放量比例如下图所示</w:t>
      </w:r>
      <w:r>
        <w:rPr>
          <w:spacing w:val="-2"/>
          <w:szCs w:val="28"/>
        </w:rPr>
        <w:t>。</w:t>
      </w:r>
    </w:p>
    <w:p w14:paraId="6B262D11">
      <w:pPr>
        <w:snapToGrid w:val="0"/>
        <w:ind w:firstLine="480"/>
        <w:jc w:val="center"/>
        <w:rPr>
          <w:color w:val="252525"/>
          <w:shd w:val="clear" w:color="auto" w:fill="FFFFFF"/>
        </w:rPr>
      </w:pPr>
      <w:r>
        <w:drawing>
          <wp:inline distT="0" distB="0" distL="0" distR="0">
            <wp:extent cx="4385945" cy="230822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14">
                      <a:extLst>
                        <a:ext uri="{28A0092B-C50C-407E-A947-70E740481C1C}">
                          <a14:useLocalDpi xmlns:a14="http://schemas.microsoft.com/office/drawing/2010/main" val="0"/>
                        </a:ext>
                      </a:extLst>
                    </a:blip>
                    <a:stretch>
                      <a:fillRect/>
                    </a:stretch>
                  </pic:blipFill>
                  <pic:spPr>
                    <a:xfrm>
                      <a:off x="0" y="0"/>
                      <a:ext cx="4385945" cy="2308225"/>
                    </a:xfrm>
                    <a:prstGeom prst="rect">
                      <a:avLst/>
                    </a:prstGeom>
                  </pic:spPr>
                </pic:pic>
              </a:graphicData>
            </a:graphic>
          </wp:inline>
        </w:drawing>
      </w:r>
    </w:p>
    <w:p w14:paraId="7F921A88">
      <w:pPr>
        <w:spacing w:before="120" w:after="120"/>
        <w:ind w:firstLine="432" w:firstLineChars="0"/>
        <w:jc w:val="center"/>
        <w:rPr>
          <w:b/>
          <w:szCs w:val="24"/>
        </w:rPr>
      </w:pPr>
      <w:r>
        <w:rPr>
          <w:b/>
          <w:spacing w:val="-12"/>
          <w:szCs w:val="24"/>
        </w:rPr>
        <w:t>图</w:t>
      </w:r>
      <w:r>
        <w:rPr>
          <w:b/>
          <w:spacing w:val="-11"/>
          <w:szCs w:val="24"/>
        </w:rPr>
        <w:t>1.2-</w:t>
      </w:r>
      <w:r>
        <w:rPr>
          <w:b/>
          <w:spacing w:val="-6"/>
          <w:szCs w:val="24"/>
        </w:rPr>
        <w:t xml:space="preserve">1 </w:t>
      </w:r>
      <w:r>
        <w:rPr>
          <w:rFonts w:hint="eastAsia"/>
          <w:b/>
          <w:spacing w:val="-6"/>
          <w:szCs w:val="24"/>
        </w:rPr>
        <w:t xml:space="preserve"> </w:t>
      </w:r>
      <w:r>
        <w:rPr>
          <w:b/>
          <w:spacing w:val="-6"/>
          <w:szCs w:val="24"/>
        </w:rPr>
        <w:t>近年各行业VOCs排放量比例</w:t>
      </w:r>
    </w:p>
    <w:p w14:paraId="6FDF8ABD">
      <w:pPr>
        <w:pStyle w:val="4"/>
        <w:spacing w:before="0" w:after="0"/>
        <w:rPr>
          <w:rFonts w:ascii="Times New Roman" w:hAnsi="Times New Roman"/>
          <w:b w:val="0"/>
        </w:rPr>
      </w:pPr>
      <w:bookmarkStart w:id="10" w:name="_Toc525723207"/>
      <w:bookmarkStart w:id="11" w:name="_Toc8691"/>
      <w:bookmarkStart w:id="12" w:name="_Toc523001159"/>
      <w:bookmarkStart w:id="13" w:name="_Toc21813"/>
      <w:bookmarkStart w:id="14" w:name="_Toc11121"/>
      <w:bookmarkStart w:id="15" w:name="_Toc159926914"/>
      <w:r>
        <w:rPr>
          <w:rFonts w:ascii="Times New Roman" w:hAnsi="Times New Roman"/>
        </w:rPr>
        <w:t>1.</w:t>
      </w:r>
      <w:r>
        <w:rPr>
          <w:rFonts w:hint="eastAsia" w:ascii="Times New Roman" w:hAnsi="Times New Roman"/>
        </w:rPr>
        <w:t>3</w:t>
      </w:r>
      <w:r>
        <w:rPr>
          <w:rFonts w:ascii="Times New Roman" w:hAnsi="Times New Roman"/>
        </w:rPr>
        <w:t xml:space="preserve"> 工作过程</w:t>
      </w:r>
      <w:bookmarkEnd w:id="10"/>
      <w:bookmarkEnd w:id="11"/>
      <w:bookmarkEnd w:id="12"/>
      <w:bookmarkEnd w:id="13"/>
      <w:bookmarkEnd w:id="14"/>
      <w:bookmarkEnd w:id="15"/>
    </w:p>
    <w:p w14:paraId="766073F2">
      <w:pPr>
        <w:ind w:firstLine="480"/>
        <w:rPr>
          <w:szCs w:val="21"/>
        </w:rPr>
      </w:pPr>
      <w:r>
        <w:rPr>
          <w:szCs w:val="21"/>
        </w:rPr>
        <w:t>（1）202</w:t>
      </w:r>
      <w:r>
        <w:rPr>
          <w:rFonts w:hint="eastAsia"/>
          <w:szCs w:val="21"/>
        </w:rPr>
        <w:t>5</w:t>
      </w:r>
      <w:r>
        <w:rPr>
          <w:szCs w:val="21"/>
        </w:rPr>
        <w:t>年</w:t>
      </w:r>
      <w:r>
        <w:rPr>
          <w:rFonts w:hint="eastAsia"/>
          <w:szCs w:val="21"/>
        </w:rPr>
        <w:t>2</w:t>
      </w:r>
      <w:r>
        <w:rPr>
          <w:szCs w:val="21"/>
        </w:rPr>
        <w:t>月，江西省市场监督管理局下达修订计划后，江西省生态环境科学研究与规划院成立了技术指南编制组，按照《国家环境保护标准制修订工作管理办法》要求，制定工作计划，开展技术指南的编制工作。</w:t>
      </w:r>
    </w:p>
    <w:p w14:paraId="0907DD60">
      <w:pPr>
        <w:ind w:firstLine="480"/>
        <w:rPr>
          <w:szCs w:val="21"/>
        </w:rPr>
      </w:pPr>
      <w:r>
        <w:rPr>
          <w:szCs w:val="21"/>
        </w:rPr>
        <w:t>（2）202</w:t>
      </w:r>
      <w:r>
        <w:rPr>
          <w:rFonts w:hint="eastAsia"/>
          <w:szCs w:val="21"/>
        </w:rPr>
        <w:t>5</w:t>
      </w:r>
      <w:r>
        <w:rPr>
          <w:szCs w:val="21"/>
        </w:rPr>
        <w:t>年</w:t>
      </w:r>
      <w:r>
        <w:rPr>
          <w:rFonts w:hint="eastAsia"/>
          <w:szCs w:val="21"/>
        </w:rPr>
        <w:t>2</w:t>
      </w:r>
      <w:r>
        <w:rPr>
          <w:szCs w:val="21"/>
        </w:rPr>
        <w:t>月-202</w:t>
      </w:r>
      <w:r>
        <w:rPr>
          <w:rFonts w:hint="eastAsia"/>
          <w:szCs w:val="21"/>
        </w:rPr>
        <w:t>5</w:t>
      </w:r>
      <w:r>
        <w:rPr>
          <w:szCs w:val="21"/>
        </w:rPr>
        <w:t>年</w:t>
      </w:r>
      <w:r>
        <w:rPr>
          <w:rFonts w:hint="eastAsia"/>
          <w:szCs w:val="21"/>
        </w:rPr>
        <w:t>3</w:t>
      </w:r>
      <w:r>
        <w:rPr>
          <w:szCs w:val="21"/>
        </w:rPr>
        <w:t>月，对国家和江西省环境管理政策、法规、标准等相关资料和情况开展调研，主要包括：收集、查阅国内外相关标准、指南；查阅有机化工行业相关行业标准和企业标准；调研国内外相关文献及研究成果；查阅有机化工企业“一企一策”报告，了解我省有机化工行业生产工艺及其涉VOCs环节和治理设施情况，据此拟定了该指南制定的基本原则和技术路线，并编制形成《挥发性有机物污染防治技术指南（试行）第2部分：有机化工行业》（草案）。</w:t>
      </w:r>
    </w:p>
    <w:p w14:paraId="2199A854">
      <w:pPr>
        <w:ind w:firstLine="480"/>
        <w:rPr>
          <w:szCs w:val="21"/>
        </w:rPr>
      </w:pPr>
      <w:r>
        <w:rPr>
          <w:szCs w:val="21"/>
        </w:rPr>
        <w:t>（3）202</w:t>
      </w:r>
      <w:r>
        <w:rPr>
          <w:rFonts w:hint="eastAsia"/>
          <w:szCs w:val="21"/>
        </w:rPr>
        <w:t>5</w:t>
      </w:r>
      <w:r>
        <w:rPr>
          <w:szCs w:val="21"/>
        </w:rPr>
        <w:t>年</w:t>
      </w:r>
      <w:r>
        <w:rPr>
          <w:rFonts w:hint="eastAsia"/>
          <w:szCs w:val="21"/>
        </w:rPr>
        <w:t>3</w:t>
      </w:r>
      <w:r>
        <w:rPr>
          <w:szCs w:val="21"/>
        </w:rPr>
        <w:t>月-202</w:t>
      </w:r>
      <w:r>
        <w:rPr>
          <w:rFonts w:hint="eastAsia"/>
          <w:szCs w:val="21"/>
        </w:rPr>
        <w:t>5</w:t>
      </w:r>
      <w:r>
        <w:rPr>
          <w:szCs w:val="21"/>
        </w:rPr>
        <w:t>年</w:t>
      </w:r>
      <w:r>
        <w:rPr>
          <w:rFonts w:hint="eastAsia"/>
          <w:szCs w:val="21"/>
        </w:rPr>
        <w:t>4</w:t>
      </w:r>
      <w:r>
        <w:rPr>
          <w:szCs w:val="21"/>
        </w:rPr>
        <w:t>月，课题组先后赴11个地市，现场调查了40余家有机化工企业的生产工艺与污染防治控制措施，同时通过江西省VOCs填报系统平台，收集了省内400多家有机化工企业的基本资料，包括原辅料使用情况、工艺过程、VOCs废气污染控制措施与排放情况。课题组还专门针对有机化工行业的省、市重点企业，多次前往现场调研，采集有组织和无组织样品进行分析测试。</w:t>
      </w:r>
    </w:p>
    <w:p w14:paraId="0C62DD15">
      <w:pPr>
        <w:ind w:firstLine="480"/>
        <w:rPr>
          <w:szCs w:val="21"/>
        </w:rPr>
      </w:pPr>
      <w:r>
        <w:rPr>
          <w:szCs w:val="21"/>
        </w:rPr>
        <w:t>（4）202</w:t>
      </w:r>
      <w:r>
        <w:rPr>
          <w:rFonts w:hint="eastAsia"/>
          <w:szCs w:val="21"/>
        </w:rPr>
        <w:t>5</w:t>
      </w:r>
      <w:r>
        <w:rPr>
          <w:szCs w:val="21"/>
        </w:rPr>
        <w:t>年</w:t>
      </w:r>
      <w:r>
        <w:rPr>
          <w:rFonts w:hint="eastAsia"/>
          <w:szCs w:val="21"/>
        </w:rPr>
        <w:t>5</w:t>
      </w:r>
      <w:r>
        <w:rPr>
          <w:szCs w:val="21"/>
        </w:rPr>
        <w:t>月，课题组对调研监测情况进行梳理汇总，并对监测数据进行分析，形成了《挥发性有机物污染防治技术指南（试行）第2部分：有机化工行业》（征求意见稿）和编制说明。</w:t>
      </w:r>
    </w:p>
    <w:p w14:paraId="055D89DB">
      <w:pPr>
        <w:ind w:firstLine="480"/>
      </w:pPr>
    </w:p>
    <w:p w14:paraId="0B52F306">
      <w:pPr>
        <w:pStyle w:val="3"/>
        <w:rPr>
          <w:rFonts w:eastAsia="仿宋"/>
        </w:rPr>
        <w:sectPr>
          <w:pgSz w:w="11907" w:h="16840"/>
          <w:pgMar w:top="1418" w:right="1582" w:bottom="1378" w:left="1582" w:header="851" w:footer="992" w:gutter="0"/>
          <w:pgNumType w:start="1"/>
          <w:cols w:space="720" w:num="1"/>
          <w:docGrid w:linePitch="326" w:charSpace="0"/>
        </w:sectPr>
      </w:pPr>
      <w:bookmarkStart w:id="16" w:name="_Toc525723210"/>
      <w:bookmarkStart w:id="17" w:name="_Toc27572"/>
      <w:bookmarkStart w:id="18" w:name="_Toc21267"/>
      <w:bookmarkStart w:id="19" w:name="_Toc537"/>
    </w:p>
    <w:p w14:paraId="2C090922">
      <w:pPr>
        <w:pStyle w:val="3"/>
        <w:rPr>
          <w:rFonts w:eastAsia="仿宋"/>
        </w:rPr>
      </w:pPr>
      <w:bookmarkStart w:id="20" w:name="_Toc159926915"/>
      <w:r>
        <w:rPr>
          <w:rFonts w:eastAsia="仿宋"/>
        </w:rPr>
        <w:t>2 标准制定的必要性</w:t>
      </w:r>
      <w:bookmarkEnd w:id="16"/>
      <w:bookmarkEnd w:id="17"/>
      <w:bookmarkEnd w:id="18"/>
      <w:bookmarkEnd w:id="19"/>
      <w:bookmarkEnd w:id="20"/>
    </w:p>
    <w:p w14:paraId="113FEF03">
      <w:pPr>
        <w:pStyle w:val="4"/>
        <w:spacing w:before="0" w:after="0"/>
        <w:rPr>
          <w:rFonts w:ascii="Times New Roman" w:hAnsi="Times New Roman"/>
        </w:rPr>
      </w:pPr>
      <w:bookmarkStart w:id="21" w:name="_Toc15992"/>
      <w:bookmarkStart w:id="22" w:name="_Toc18661"/>
      <w:bookmarkStart w:id="23" w:name="_Toc13046"/>
      <w:bookmarkStart w:id="24" w:name="_Toc159926916"/>
      <w:bookmarkStart w:id="25" w:name="_Toc525723211"/>
      <w:bookmarkStart w:id="26" w:name="_Toc523001161"/>
      <w:r>
        <w:rPr>
          <w:rFonts w:ascii="Times New Roman" w:hAnsi="Times New Roman"/>
        </w:rPr>
        <w:t>2.1 江西省大气污染防控形势发展需要</w:t>
      </w:r>
      <w:bookmarkEnd w:id="21"/>
      <w:bookmarkEnd w:id="22"/>
      <w:bookmarkEnd w:id="23"/>
      <w:bookmarkEnd w:id="24"/>
    </w:p>
    <w:p w14:paraId="2D82E750">
      <w:pPr>
        <w:ind w:firstLine="480"/>
        <w:jc w:val="left"/>
      </w:pPr>
      <w:r>
        <w:t>VOCs是形成细颗粒物（PM</w:t>
      </w:r>
      <w:r>
        <w:rPr>
          <w:vertAlign w:val="subscript"/>
        </w:rPr>
        <w:t>2.5</w:t>
      </w:r>
      <w:r>
        <w:t>）和臭氧（O</w:t>
      </w:r>
      <w:r>
        <w:rPr>
          <w:vertAlign w:val="subscript"/>
        </w:rPr>
        <w:t>3</w:t>
      </w:r>
      <w:r>
        <w:t>）的重要前体物，对气候变化也有影响。2017年以来，臭氧已成为我省除PM</w:t>
      </w:r>
      <w:r>
        <w:rPr>
          <w:vertAlign w:val="subscript"/>
        </w:rPr>
        <w:t>2.5</w:t>
      </w:r>
      <w:r>
        <w:t>以外的主要污染因子，臭氧呈现出“占比增加、时间提前、区域扩大”趋势特征。</w:t>
      </w:r>
    </w:p>
    <w:p w14:paraId="57208504">
      <w:pPr>
        <w:ind w:firstLine="480"/>
      </w:pPr>
      <w:r>
        <w:t>为更好地加强臭氧管控前体物VOCs的管控，解决目前我省大气环境VOCs控制短板现状，改善我省空气质量，国家和我省相继出台印发了《重点行业挥发性有机物综合治理方案的通知》（环大气〔2019〕53号）、《2020年挥发性有机物治理攻坚方案》、《关于加快解决当前挥发性有机物治理突出问题的通知（征求意见稿）》（环办便函〔2021〕217号）、《江西省重点行业挥发性有机物综合治理方案的通知》（赣环大气〔2019〕）、《2020年夏秋季挥发性有机物(VOCs)治理攻坚帮扶工作方案的通知》（赣环大气〔2020〕6号）、《加强VOCs排放管控及时做好2022年臭氧污染应对工作》（赣环大气〔2022〕6号）、《江西省重点行业挥发性有机物控制技术手册》、《江西省重点行业挥发性有机物现场核查手册》等文件，政策文件均将有机化工列为了挥发性有机物治理的重点行业。</w:t>
      </w:r>
    </w:p>
    <w:p w14:paraId="7F5693CF">
      <w:pPr>
        <w:ind w:firstLine="480" w:firstLineChars="0"/>
        <w:jc w:val="left"/>
      </w:pPr>
      <w:r>
        <w:t>有机化工行业是我省重点VOCs排放行业，我省有机化工企</w:t>
      </w:r>
      <w:r>
        <w:rPr>
          <w:rFonts w:hint="eastAsia"/>
          <w:lang w:eastAsia="zh-CN"/>
        </w:rPr>
        <w:t>业</w:t>
      </w:r>
      <w:r>
        <w:t>数量多，挥发性有机物排放量大。根据2021年我省环境统计结果，全省重点调查工业企业排放的VOCs约5.8万吨/年，其中统计的1519家有机化工重点调查企业的排放量约为3.3万吨/年，占比56.8%。</w:t>
      </w:r>
    </w:p>
    <w:p w14:paraId="33EB25D9">
      <w:pPr>
        <w:ind w:firstLine="480"/>
        <w:jc w:val="left"/>
      </w:pPr>
      <w:r>
        <w:t>因此，制定我省有机化工行业VOCs技术指南，是贯彻落实我省大气污染防治要求、改善我省环境空气质量的迫切需要。</w:t>
      </w:r>
    </w:p>
    <w:p w14:paraId="52FD4255">
      <w:pPr>
        <w:pStyle w:val="4"/>
        <w:spacing w:before="0" w:after="0"/>
        <w:rPr>
          <w:rFonts w:ascii="Times New Roman" w:hAnsi="Times New Roman"/>
        </w:rPr>
      </w:pPr>
      <w:bookmarkStart w:id="27" w:name="_Toc159926917"/>
      <w:bookmarkStart w:id="28" w:name="_Toc9555"/>
      <w:bookmarkStart w:id="29" w:name="_Toc3680"/>
      <w:bookmarkStart w:id="30" w:name="_Toc29817"/>
      <w:r>
        <w:rPr>
          <w:rFonts w:ascii="Times New Roman" w:hAnsi="Times New Roman"/>
        </w:rPr>
        <w:t>2.2 引导行业可持续发展的需要</w:t>
      </w:r>
      <w:bookmarkEnd w:id="27"/>
      <w:bookmarkEnd w:id="28"/>
      <w:bookmarkEnd w:id="29"/>
      <w:bookmarkEnd w:id="30"/>
    </w:p>
    <w:p w14:paraId="1D34A2FD">
      <w:pPr>
        <w:ind w:firstLine="480"/>
        <w:jc w:val="left"/>
      </w:pPr>
      <w:r>
        <w:t>《大气污染防治行动计划》实施以来，国家及我省不断加强VOCs污染防治工出台了大批文件，对VOCs污染防治提出了具体要求。《大气污染防治行动计划》提出“在石化、有机化工、表面涂装、包装印刷等行业实施挥发性有机物综合整治”；《江西省十四五生态环境保护规划》提到“大力推进重点行业挥发性有机物综合治理。实施挥发性有机物排放总量控制。”《江西省重点行业挥发性有机物综合治理方案的通知（赣环大气〔2019〕》，明确提出大力推动重点行业开展挥发性有机物专项治理，坚持突出重点、以点带面、分步实施的原则，加强重点行业工艺过程无组织排放控制和废气治理，提升企业工艺装备水平和挥发性有机物污染防治水平。制定《挥发性有机物污染防治技术指南（试行）第2部分：有机化工行业》有利于落实国家及我省一系列相关政策法规，对加强有机化工行业挥发性有机物排放管控，促进生产工艺和污染防治技术进步，引导产业转型升级，实现可持续发展具有重要意义。</w:t>
      </w:r>
    </w:p>
    <w:p w14:paraId="32F4AD38">
      <w:pPr>
        <w:pStyle w:val="4"/>
        <w:spacing w:before="0" w:after="0"/>
        <w:rPr>
          <w:rFonts w:ascii="Times New Roman" w:hAnsi="Times New Roman"/>
        </w:rPr>
      </w:pPr>
      <w:bookmarkStart w:id="31" w:name="_Toc159926918"/>
      <w:bookmarkStart w:id="32" w:name="_Toc2617"/>
      <w:bookmarkStart w:id="33" w:name="_Toc13400"/>
      <w:bookmarkStart w:id="34" w:name="_Toc19537"/>
      <w:r>
        <w:rPr>
          <w:rFonts w:ascii="Times New Roman" w:hAnsi="Times New Roman"/>
        </w:rPr>
        <w:t>2.3 完善我省环境保护标准体系的需要</w:t>
      </w:r>
      <w:bookmarkEnd w:id="31"/>
      <w:bookmarkEnd w:id="32"/>
      <w:bookmarkEnd w:id="33"/>
      <w:bookmarkEnd w:id="34"/>
    </w:p>
    <w:p w14:paraId="4CB33028">
      <w:pPr>
        <w:ind w:firstLine="480"/>
        <w:jc w:val="left"/>
      </w:pPr>
      <w:r>
        <w:t>随着我省经济发展，对于排放VOCs的企业来说，产品结构逐渐多元化，有机化工材料种类以及形态各异，工艺过程中所使用原辅料类型及工序也各异，造成VOCs排放环节和排放特征也各有不同，不利于VOCs排放控制；企业要想达标排放，迫切需要实用技术来指导防治挥发性有机污染物。</w:t>
      </w:r>
    </w:p>
    <w:p w14:paraId="26DEDADC">
      <w:pPr>
        <w:ind w:firstLine="480"/>
        <w:jc w:val="left"/>
      </w:pPr>
      <w:r>
        <w:t>为了强化企业污染源挥发性有机物控制水平，我省相继发布实施了六项挥发性有机物排放标准、重点行业VOCs现场核查指南以及重点行业VOCs污染物控制手册，对我省重点行业提出具体的挥发性有机物控制要求，尚未出台专门针对有机化工VOCs污染治理控制的指南。因此，制定实施《有机化工行业VOCs污染防治技术指南》，能指导企业科学防治挥发性有机污染物，对进一步完善我省生态环境标准体系，适应新时期生态环境管理需求有重要意义。</w:t>
      </w:r>
    </w:p>
    <w:p w14:paraId="55939A3E">
      <w:pPr>
        <w:pStyle w:val="4"/>
        <w:spacing w:before="0" w:after="0"/>
        <w:rPr>
          <w:rFonts w:ascii="Times New Roman" w:hAnsi="Times New Roman"/>
        </w:rPr>
      </w:pPr>
      <w:bookmarkStart w:id="35" w:name="_Toc10853"/>
      <w:bookmarkStart w:id="36" w:name="_Toc159926919"/>
      <w:bookmarkStart w:id="37" w:name="_Toc4965"/>
      <w:r>
        <w:rPr>
          <w:rFonts w:ascii="Times New Roman" w:hAnsi="Times New Roman"/>
        </w:rPr>
        <w:t>2.4 污染治理水平提高的需要</w:t>
      </w:r>
      <w:bookmarkEnd w:id="35"/>
      <w:bookmarkEnd w:id="36"/>
      <w:bookmarkEnd w:id="37"/>
    </w:p>
    <w:p w14:paraId="7B16DDA6">
      <w:pPr>
        <w:ind w:firstLine="480"/>
      </w:pPr>
      <w:r>
        <w:t>目前，我省有机化工行业主要包括C2614有机化学原料制造、C2619其他基础化学原料制造（不含无机化学类原料制造）、C263农药制造、C2641涂料制造、C2645染料制造、C2646密封用填料及类似品制造、C265合成材料制造、C266专用化学产品制造（不含无机化学品制造）和C268日用化学产品制造等企业。在生产过程中不可避免地产生大量的有机溶剂挥发；由于企业多数规模不大，缺乏针对性技术指导及法律标准要求，工艺过程中挥发的有机溶剂的收集、治理效果不佳。制定工业涂装业挥发性有机物排放标准，不仅可以有效引导企业采用更环保的低VOCS原料、更先进、更高效的末端处理技术，为有机化工规范发展明确方向。</w:t>
      </w:r>
      <w:r>
        <w:br w:type="page"/>
      </w:r>
    </w:p>
    <w:bookmarkEnd w:id="25"/>
    <w:bookmarkEnd w:id="26"/>
    <w:p w14:paraId="67894D4D">
      <w:pPr>
        <w:pStyle w:val="3"/>
        <w:rPr>
          <w:rFonts w:eastAsia="仿宋"/>
        </w:rPr>
      </w:pPr>
      <w:bookmarkStart w:id="38" w:name="_Toc10018"/>
      <w:bookmarkStart w:id="39" w:name="_Toc12232"/>
      <w:bookmarkStart w:id="40" w:name="_Toc25846"/>
      <w:bookmarkStart w:id="41" w:name="_Toc525723213"/>
      <w:bookmarkStart w:id="42" w:name="_Toc159926920"/>
      <w:r>
        <w:rPr>
          <w:rFonts w:eastAsia="仿宋"/>
        </w:rPr>
        <w:t>3 有机化工行业VOCs污染防治概况</w:t>
      </w:r>
      <w:bookmarkEnd w:id="38"/>
      <w:bookmarkEnd w:id="39"/>
      <w:bookmarkEnd w:id="40"/>
      <w:bookmarkEnd w:id="41"/>
      <w:bookmarkEnd w:id="42"/>
    </w:p>
    <w:p w14:paraId="414FB4C7">
      <w:pPr>
        <w:pStyle w:val="4"/>
        <w:spacing w:before="0" w:after="0"/>
        <w:rPr>
          <w:rFonts w:ascii="Times New Roman" w:hAnsi="Times New Roman"/>
        </w:rPr>
      </w:pPr>
      <w:bookmarkStart w:id="43" w:name="_bookmark4"/>
      <w:bookmarkEnd w:id="43"/>
      <w:bookmarkStart w:id="44" w:name="_Toc11757"/>
      <w:bookmarkStart w:id="45" w:name="_Toc3317"/>
      <w:bookmarkStart w:id="46" w:name="_Toc159926921"/>
      <w:bookmarkStart w:id="47" w:name="_Toc10812"/>
      <w:bookmarkStart w:id="48" w:name="_Toc525723214"/>
      <w:bookmarkStart w:id="49" w:name="_Toc523001164"/>
      <w:r>
        <w:rPr>
          <w:rFonts w:ascii="Times New Roman" w:hAnsi="Times New Roman"/>
        </w:rPr>
        <w:t xml:space="preserve">3.1 </w:t>
      </w:r>
      <w:bookmarkEnd w:id="44"/>
      <w:bookmarkEnd w:id="45"/>
      <w:r>
        <w:rPr>
          <w:rFonts w:ascii="Times New Roman" w:hAnsi="Times New Roman"/>
        </w:rPr>
        <w:t>有机化学工业分类</w:t>
      </w:r>
      <w:bookmarkEnd w:id="46"/>
    </w:p>
    <w:p w14:paraId="1923AA64">
      <w:pPr>
        <w:ind w:firstLine="480"/>
      </w:pPr>
      <w:r>
        <w:t>根据《国民经济行业分类》（GB/T4754-2017）内容，综合考虑我省实际，编制组确定本标准适用的有机化工行业包括C2614有机化学原料制造、C2619其他基础化学原料制造（不含无机化学类原料制造）、C263农药制造、C2641涂料制造、C2645染料制造、C2646密封用填料及类似品制造、C265合成材料制造、C266专用化学产品制造（不含无机化学品制造）和C268日用化学产品制造。</w:t>
      </w:r>
    </w:p>
    <w:p w14:paraId="3E627B4F">
      <w:pPr>
        <w:ind w:firstLine="480"/>
      </w:pPr>
      <w:r>
        <w:t>有机化学原料制造，不含以石油馏分、天然气为原料的有机化学制造，不含无机化学类原料制造。主要是指以几种或多种有机产品（有机化合物）合成新的有机原料的一种生产过程。</w:t>
      </w:r>
    </w:p>
    <w:p w14:paraId="5065B834">
      <w:pPr>
        <w:ind w:firstLine="480"/>
      </w:pPr>
      <w:r>
        <w:t>农药制造是指用于防治农业、林业作物的病、虫、草、鼠和其他有害生物，调节植物生长的各种化学农药、微生物农药、生物化学农药，以及仓储、农林产品的防蚀、河流堤坝、铁路、机场、建筑物及其他场所用药的原药和制剂的生产活动。</w:t>
      </w:r>
    </w:p>
    <w:p w14:paraId="6A7D8DD3">
      <w:pPr>
        <w:ind w:firstLine="480"/>
      </w:pPr>
      <w:r>
        <w:t>涂料制品是在天然树脂或合成树脂中加入颜料、溶剂和辅助材料，经加工后制成覆盖材料。涂料制造属于有机化工高分子材料，所形成的涂膜属于高分子化合物类型。按照现代通行的化工产品的分类，涂料属于精细化工产品。现代的涂料正在逐步成为一类多功能性的工程材料，是化学工业中的一个重要行业。</w:t>
      </w:r>
    </w:p>
    <w:p w14:paraId="1CAAD333">
      <w:pPr>
        <w:ind w:firstLine="480"/>
      </w:pPr>
      <w:r>
        <w:t>染料制造是指有机合成、植物性或动物性色料，以及有机颜料的生产活动。</w:t>
      </w:r>
    </w:p>
    <w:p w14:paraId="50E7FBCB">
      <w:pPr>
        <w:ind w:firstLine="480"/>
      </w:pPr>
      <w:r>
        <w:t>密封用填料及类似品制造是指用于建筑涂料、密封和漆工用的填充料，以及其他类似化学材料的制造。</w:t>
      </w:r>
    </w:p>
    <w:p w14:paraId="7ED77616">
      <w:pPr>
        <w:ind w:firstLine="480"/>
      </w:pPr>
      <w:r>
        <w:t>合成材料制造包括初级形态塑料及合成树脂制造、合成橡胶制造、合成纤维单（聚合）体制造和其他合成材料制造。初级形态塑料及合成树脂制造也称初级塑料或原状塑料的生产活动，包括通用塑料、工程塑料、功能高分子塑料的制造。合成橡胶制造是指用一种或多种单体为原料进行聚合生产合成橡胶或高分析弹性体的生产活动。合成纤维单（聚合）体制造是指以石油、天然气、煤等为主要原料，用有机合成的方法制成合成纤维单体或聚合体的生产活动。其他合成材料制造是指陶瓷纤维等特种纤维及其增强的复合材料的生产活动。</w:t>
      </w:r>
    </w:p>
    <w:p w14:paraId="330880B9">
      <w:pPr>
        <w:ind w:firstLine="480"/>
      </w:pPr>
      <w:r>
        <w:t>专用有机化学产品制造不含无机化学品制造，主要是指有机化学试剂、专项有机化学用品、专用有机药剂制造、环境污染处理专用药剂材料制造。</w:t>
      </w:r>
    </w:p>
    <w:p w14:paraId="1B1AF870">
      <w:pPr>
        <w:pStyle w:val="2"/>
        <w:pBdr>
          <w:bottom w:val="none" w:color="auto" w:sz="0" w:space="0"/>
        </w:pBdr>
        <w:ind w:firstLine="360"/>
      </w:pPr>
    </w:p>
    <w:p w14:paraId="2C0F3497">
      <w:pPr>
        <w:pStyle w:val="5"/>
        <w:spacing w:before="0" w:after="0"/>
      </w:pPr>
      <w:bookmarkStart w:id="50" w:name="_Toc21273"/>
      <w:bookmarkStart w:id="51" w:name="_Toc159926922"/>
      <w:bookmarkStart w:id="52" w:name="_Toc7354"/>
      <w:r>
        <w:t>3.1.1 总体概况</w:t>
      </w:r>
      <w:bookmarkEnd w:id="50"/>
      <w:bookmarkEnd w:id="51"/>
      <w:bookmarkEnd w:id="52"/>
    </w:p>
    <w:p w14:paraId="1250E952">
      <w:pPr>
        <w:widowControl/>
        <w:ind w:firstLine="480"/>
        <w:rPr>
          <w:lang w:bidi="ar"/>
        </w:rPr>
      </w:pPr>
      <w:r>
        <w:rPr>
          <w:color w:val="000000" w:themeColor="text1"/>
          <w:lang w:bidi="ar"/>
          <w14:textFill>
            <w14:solidFill>
              <w14:schemeClr w14:val="tx1"/>
            </w14:solidFill>
          </w14:textFill>
        </w:rPr>
        <w:t>有机化工广泛应用于各类工业制品，是一个涉及众多行业的工艺过程，并不局限于某个特定行业，不</w:t>
      </w:r>
      <w:r>
        <w:rPr>
          <w:lang w:bidi="ar"/>
        </w:rPr>
        <w:t>仅在传统工业有广泛应用，在快速发展的现代工业中也不可或缺。</w:t>
      </w:r>
    </w:p>
    <w:p w14:paraId="2910C7DA">
      <w:pPr>
        <w:widowControl/>
        <w:ind w:firstLine="480"/>
        <w:rPr>
          <w:lang w:bidi="ar"/>
        </w:rPr>
      </w:pPr>
      <w:r>
        <w:rPr>
          <w:lang w:bidi="ar"/>
        </w:rPr>
        <w:t>2022年，我省工业经济实现高质量跨越式发展，居全国第7位，工业主要指标稳居全国“第一方阵”。全省制造业增加值首次突破万亿元、达1.09万亿元。目前全省已跨越工业化中期并加速迈向中后期，工业主要经济指标挺进全国中上游。全省制造业高质量发展指数居全国第13位。我省“十四五”期间，将创建中部制造业高质量发展示范区，省内也将积极培育航空及装备制造智能装备、新能源制造、智能家具等发展重要基地。</w:t>
      </w:r>
    </w:p>
    <w:p w14:paraId="790DAB05">
      <w:pPr>
        <w:widowControl/>
        <w:ind w:firstLine="480"/>
        <w:rPr>
          <w:lang w:bidi="ar"/>
        </w:rPr>
      </w:pPr>
      <w:r>
        <w:rPr>
          <w:lang w:bidi="ar"/>
        </w:rPr>
        <w:t>江西省现有涉有机化工企业数量多，分布广，涉及行业多。其中涉及</w:t>
      </w:r>
      <w:r>
        <w:t>农药制造</w:t>
      </w:r>
      <w:r>
        <w:rPr>
          <w:lang w:bidi="ar"/>
        </w:rPr>
        <w:t>、涂料制造、有机化学原料制造、其他基础化学原料制造、油墨及类似产品制造等众多行业。</w:t>
      </w:r>
    </w:p>
    <w:p w14:paraId="438D6210">
      <w:pPr>
        <w:pStyle w:val="5"/>
        <w:spacing w:before="0" w:after="0"/>
      </w:pPr>
      <w:bookmarkStart w:id="53" w:name="_Toc11062"/>
      <w:bookmarkStart w:id="54" w:name="_Toc14008"/>
      <w:bookmarkStart w:id="55" w:name="_Toc159926923"/>
      <w:r>
        <w:t>3.1.2 企业调查情况</w:t>
      </w:r>
      <w:bookmarkEnd w:id="53"/>
      <w:bookmarkEnd w:id="54"/>
      <w:bookmarkEnd w:id="55"/>
    </w:p>
    <w:bookmarkEnd w:id="47"/>
    <w:bookmarkEnd w:id="48"/>
    <w:bookmarkEnd w:id="49"/>
    <w:p w14:paraId="3C63784B">
      <w:pPr>
        <w:pStyle w:val="6"/>
        <w:keepNext w:val="0"/>
        <w:keepLines w:val="0"/>
        <w:widowControl/>
        <w:jc w:val="left"/>
        <w:rPr>
          <w:rFonts w:ascii="Times New Roman" w:hAnsi="Times New Roman"/>
        </w:rPr>
      </w:pPr>
      <w:bookmarkStart w:id="56" w:name="_bookmark5"/>
      <w:bookmarkEnd w:id="56"/>
      <w:bookmarkStart w:id="57" w:name="_Toc523001165"/>
      <w:bookmarkStart w:id="58" w:name="_Toc525723215"/>
      <w:bookmarkStart w:id="59" w:name="_Toc23237"/>
      <w:r>
        <w:rPr>
          <w:rFonts w:ascii="Times New Roman" w:hAnsi="Times New Roman"/>
          <w:color w:val="000000"/>
          <w:kern w:val="0"/>
          <w:szCs w:val="32"/>
          <w:lang w:bidi="ar"/>
        </w:rPr>
        <w:t>3.1.2.1 行业分布</w:t>
      </w:r>
      <w:bookmarkEnd w:id="57"/>
      <w:bookmarkEnd w:id="58"/>
      <w:bookmarkEnd w:id="59"/>
    </w:p>
    <w:p w14:paraId="58D202AA">
      <w:pPr>
        <w:widowControl/>
        <w:ind w:firstLine="480"/>
        <w:rPr>
          <w:color w:val="FF0000"/>
          <w:lang w:bidi="ar"/>
        </w:rPr>
      </w:pPr>
      <w:r>
        <w:rPr>
          <w:lang w:bidi="ar"/>
        </w:rPr>
        <w:t>根据调研统计，我省涉有机化工行业主要包括</w:t>
      </w:r>
      <w:r>
        <w:t>有机化工行业包括C2614有机化学原料制造、C2619其他基础化学原料制造（不含无机化学类原料制造）、C263农药制造、C2641涂料制造、C2645染料制造、C2646密封用填料及类似品制造、C265合成材料制造、C266专用化学产品制造（不含无机化学品制造）和C268日用化学产品制造</w:t>
      </w:r>
      <w:r>
        <w:rPr>
          <w:lang w:bidi="ar"/>
        </w:rPr>
        <w:t>。</w:t>
      </w:r>
    </w:p>
    <w:p w14:paraId="7EA41432">
      <w:pPr>
        <w:widowControl/>
        <w:ind w:firstLine="480"/>
        <w:rPr>
          <w:lang w:bidi="ar"/>
        </w:rPr>
      </w:pPr>
      <w:r>
        <w:rPr>
          <w:lang w:bidi="ar"/>
        </w:rPr>
        <w:t>本次搜集到了2021年全省重点相关企业环统数据的基本信息，按此九大类别统计整体企业数量情况见表3.1-1及图3.1-1。</w:t>
      </w:r>
    </w:p>
    <w:p w14:paraId="013E6A10">
      <w:pPr>
        <w:widowControl/>
        <w:ind w:firstLine="482"/>
        <w:jc w:val="center"/>
        <w:rPr>
          <w:b/>
          <w:bCs/>
          <w:color w:val="FF0000"/>
          <w:lang w:bidi="ar"/>
        </w:rPr>
      </w:pPr>
      <w:r>
        <w:rPr>
          <w:b/>
          <w:bCs/>
          <w:lang w:bidi="ar"/>
        </w:rPr>
        <w:t>表3.1-1</w:t>
      </w:r>
      <w:r>
        <w:rPr>
          <w:rFonts w:hint="eastAsia"/>
          <w:b/>
          <w:bCs/>
          <w:lang w:bidi="ar"/>
        </w:rPr>
        <w:t xml:space="preserve">  </w:t>
      </w:r>
      <w:r>
        <w:rPr>
          <w:b/>
          <w:bCs/>
          <w:lang w:bidi="ar"/>
        </w:rPr>
        <w:t>我省有机化工行业重要企业类别环统数据统计表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563"/>
        <w:gridCol w:w="1606"/>
        <w:gridCol w:w="1813"/>
      </w:tblGrid>
      <w:tr w14:paraId="0EBF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43" w:type="dxa"/>
            <w:vAlign w:val="center"/>
          </w:tcPr>
          <w:p w14:paraId="34058F11">
            <w:pPr>
              <w:widowControl/>
              <w:spacing w:line="240" w:lineRule="atLeast"/>
              <w:ind w:firstLine="0" w:firstLineChars="0"/>
              <w:jc w:val="center"/>
              <w:rPr>
                <w:b/>
                <w:bCs/>
                <w:szCs w:val="24"/>
                <w:lang w:bidi="ar"/>
              </w:rPr>
            </w:pPr>
            <w:r>
              <w:rPr>
                <w:b/>
                <w:bCs/>
                <w:szCs w:val="24"/>
                <w:lang w:bidi="ar"/>
              </w:rPr>
              <w:t>序号</w:t>
            </w:r>
          </w:p>
        </w:tc>
        <w:tc>
          <w:tcPr>
            <w:tcW w:w="4563" w:type="dxa"/>
            <w:vAlign w:val="center"/>
          </w:tcPr>
          <w:p w14:paraId="2ED23C99">
            <w:pPr>
              <w:widowControl/>
              <w:spacing w:line="240" w:lineRule="atLeast"/>
              <w:ind w:firstLine="0" w:firstLineChars="0"/>
              <w:jc w:val="center"/>
              <w:rPr>
                <w:b/>
                <w:bCs/>
                <w:szCs w:val="24"/>
                <w:lang w:bidi="ar"/>
              </w:rPr>
            </w:pPr>
            <w:r>
              <w:rPr>
                <w:b/>
                <w:bCs/>
                <w:szCs w:val="24"/>
                <w:lang w:bidi="ar"/>
              </w:rPr>
              <w:t>国民经济行业类别</w:t>
            </w:r>
          </w:p>
        </w:tc>
        <w:tc>
          <w:tcPr>
            <w:tcW w:w="1606" w:type="dxa"/>
            <w:vAlign w:val="center"/>
          </w:tcPr>
          <w:p w14:paraId="63983B5B">
            <w:pPr>
              <w:widowControl/>
              <w:spacing w:line="240" w:lineRule="atLeast"/>
              <w:ind w:firstLine="0" w:firstLineChars="0"/>
              <w:jc w:val="center"/>
              <w:rPr>
                <w:b/>
                <w:bCs/>
                <w:szCs w:val="24"/>
                <w:lang w:bidi="ar"/>
              </w:rPr>
            </w:pPr>
            <w:r>
              <w:rPr>
                <w:b/>
                <w:bCs/>
                <w:szCs w:val="24"/>
                <w:lang w:bidi="ar"/>
              </w:rPr>
              <w:t>企业数量</w:t>
            </w:r>
          </w:p>
        </w:tc>
        <w:tc>
          <w:tcPr>
            <w:tcW w:w="1813" w:type="dxa"/>
            <w:vAlign w:val="center"/>
          </w:tcPr>
          <w:p w14:paraId="678D37B9">
            <w:pPr>
              <w:widowControl/>
              <w:spacing w:line="240" w:lineRule="atLeast"/>
              <w:ind w:firstLine="0" w:firstLineChars="0"/>
              <w:jc w:val="center"/>
              <w:rPr>
                <w:b/>
                <w:bCs/>
                <w:szCs w:val="24"/>
                <w:lang w:bidi="ar"/>
              </w:rPr>
            </w:pPr>
            <w:r>
              <w:rPr>
                <w:b/>
                <w:bCs/>
                <w:szCs w:val="24"/>
                <w:lang w:bidi="ar"/>
              </w:rPr>
              <w:t>数量占比</w:t>
            </w:r>
          </w:p>
        </w:tc>
      </w:tr>
      <w:tr w14:paraId="3B74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898809E">
            <w:pPr>
              <w:widowControl/>
              <w:spacing w:line="240" w:lineRule="atLeast"/>
              <w:ind w:firstLine="0" w:firstLineChars="0"/>
              <w:jc w:val="center"/>
              <w:rPr>
                <w:szCs w:val="24"/>
                <w:lang w:bidi="ar"/>
              </w:rPr>
            </w:pPr>
            <w:r>
              <w:rPr>
                <w:szCs w:val="24"/>
                <w:lang w:bidi="ar"/>
              </w:rPr>
              <w:t>1</w:t>
            </w:r>
          </w:p>
        </w:tc>
        <w:tc>
          <w:tcPr>
            <w:tcW w:w="4563" w:type="dxa"/>
            <w:vAlign w:val="center"/>
          </w:tcPr>
          <w:p w14:paraId="64174492">
            <w:pPr>
              <w:widowControl/>
              <w:spacing w:line="240" w:lineRule="atLeast"/>
              <w:ind w:firstLine="0" w:firstLineChars="0"/>
              <w:jc w:val="center"/>
              <w:rPr>
                <w:szCs w:val="24"/>
                <w:lang w:bidi="ar"/>
              </w:rPr>
            </w:pPr>
            <w:r>
              <w:rPr>
                <w:szCs w:val="24"/>
              </w:rPr>
              <w:t>有机化学原料制造（C2614）</w:t>
            </w:r>
          </w:p>
        </w:tc>
        <w:tc>
          <w:tcPr>
            <w:tcW w:w="1606" w:type="dxa"/>
            <w:vAlign w:val="center"/>
          </w:tcPr>
          <w:p w14:paraId="5CEF490B">
            <w:pPr>
              <w:widowControl/>
              <w:spacing w:line="240" w:lineRule="atLeast"/>
              <w:ind w:firstLine="0" w:firstLineChars="0"/>
              <w:jc w:val="center"/>
              <w:rPr>
                <w:szCs w:val="24"/>
                <w:lang w:bidi="ar"/>
              </w:rPr>
            </w:pPr>
            <w:r>
              <w:rPr>
                <w:szCs w:val="24"/>
                <w:lang w:bidi="ar"/>
              </w:rPr>
              <w:t>84</w:t>
            </w:r>
          </w:p>
        </w:tc>
        <w:tc>
          <w:tcPr>
            <w:tcW w:w="1813" w:type="dxa"/>
            <w:vAlign w:val="center"/>
          </w:tcPr>
          <w:p w14:paraId="545899CF">
            <w:pPr>
              <w:widowControl/>
              <w:ind w:firstLine="0" w:firstLineChars="0"/>
              <w:jc w:val="center"/>
              <w:textAlignment w:val="center"/>
              <w:rPr>
                <w:szCs w:val="24"/>
                <w:lang w:bidi="ar"/>
              </w:rPr>
            </w:pPr>
            <w:r>
              <w:rPr>
                <w:color w:val="000000"/>
                <w:kern w:val="0"/>
                <w:szCs w:val="24"/>
                <w:lang w:bidi="ar"/>
              </w:rPr>
              <w:t>14.4%</w:t>
            </w:r>
          </w:p>
        </w:tc>
      </w:tr>
      <w:tr w14:paraId="5538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78D7BF7">
            <w:pPr>
              <w:widowControl/>
              <w:spacing w:line="240" w:lineRule="atLeast"/>
              <w:ind w:firstLine="0" w:firstLineChars="0"/>
              <w:jc w:val="center"/>
              <w:rPr>
                <w:szCs w:val="24"/>
                <w:lang w:bidi="ar"/>
              </w:rPr>
            </w:pPr>
            <w:r>
              <w:rPr>
                <w:szCs w:val="24"/>
                <w:lang w:bidi="ar"/>
              </w:rPr>
              <w:t>2</w:t>
            </w:r>
          </w:p>
        </w:tc>
        <w:tc>
          <w:tcPr>
            <w:tcW w:w="4563" w:type="dxa"/>
            <w:vAlign w:val="center"/>
          </w:tcPr>
          <w:p w14:paraId="4FF6C5AB">
            <w:pPr>
              <w:widowControl/>
              <w:spacing w:line="240" w:lineRule="atLeast"/>
              <w:ind w:firstLine="0" w:firstLineChars="0"/>
              <w:jc w:val="center"/>
              <w:rPr>
                <w:szCs w:val="24"/>
                <w:lang w:bidi="ar"/>
              </w:rPr>
            </w:pPr>
            <w:r>
              <w:rPr>
                <w:szCs w:val="24"/>
              </w:rPr>
              <w:t>其他基础化学原料制造（C2619）</w:t>
            </w:r>
          </w:p>
        </w:tc>
        <w:tc>
          <w:tcPr>
            <w:tcW w:w="1606" w:type="dxa"/>
            <w:vAlign w:val="center"/>
          </w:tcPr>
          <w:p w14:paraId="65529586">
            <w:pPr>
              <w:widowControl/>
              <w:spacing w:line="240" w:lineRule="atLeast"/>
              <w:ind w:firstLine="0" w:firstLineChars="0"/>
              <w:jc w:val="center"/>
              <w:rPr>
                <w:szCs w:val="24"/>
                <w:lang w:bidi="ar"/>
              </w:rPr>
            </w:pPr>
            <w:r>
              <w:rPr>
                <w:szCs w:val="24"/>
                <w:lang w:bidi="ar"/>
              </w:rPr>
              <w:t>48</w:t>
            </w:r>
          </w:p>
        </w:tc>
        <w:tc>
          <w:tcPr>
            <w:tcW w:w="1813" w:type="dxa"/>
            <w:vAlign w:val="center"/>
          </w:tcPr>
          <w:p w14:paraId="16E909A9">
            <w:pPr>
              <w:widowControl/>
              <w:ind w:firstLine="0" w:firstLineChars="0"/>
              <w:jc w:val="center"/>
              <w:textAlignment w:val="center"/>
              <w:rPr>
                <w:szCs w:val="24"/>
                <w:lang w:bidi="ar"/>
              </w:rPr>
            </w:pPr>
            <w:r>
              <w:rPr>
                <w:color w:val="000000"/>
                <w:kern w:val="0"/>
                <w:szCs w:val="24"/>
                <w:lang w:bidi="ar"/>
              </w:rPr>
              <w:t>8.2%</w:t>
            </w:r>
          </w:p>
        </w:tc>
      </w:tr>
      <w:tr w14:paraId="7A28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135991F">
            <w:pPr>
              <w:widowControl/>
              <w:spacing w:line="240" w:lineRule="atLeast"/>
              <w:ind w:firstLine="0" w:firstLineChars="0"/>
              <w:jc w:val="center"/>
              <w:rPr>
                <w:szCs w:val="24"/>
                <w:lang w:bidi="ar"/>
              </w:rPr>
            </w:pPr>
            <w:r>
              <w:rPr>
                <w:szCs w:val="24"/>
                <w:lang w:bidi="ar"/>
              </w:rPr>
              <w:t>3</w:t>
            </w:r>
          </w:p>
        </w:tc>
        <w:tc>
          <w:tcPr>
            <w:tcW w:w="4563" w:type="dxa"/>
            <w:vAlign w:val="center"/>
          </w:tcPr>
          <w:p w14:paraId="0BB2F0EE">
            <w:pPr>
              <w:widowControl/>
              <w:spacing w:line="240" w:lineRule="atLeast"/>
              <w:ind w:firstLine="0" w:firstLineChars="0"/>
              <w:jc w:val="center"/>
              <w:rPr>
                <w:szCs w:val="24"/>
                <w:lang w:bidi="ar"/>
              </w:rPr>
            </w:pPr>
            <w:r>
              <w:rPr>
                <w:szCs w:val="24"/>
              </w:rPr>
              <w:t>农药制造(C263)</w:t>
            </w:r>
          </w:p>
        </w:tc>
        <w:tc>
          <w:tcPr>
            <w:tcW w:w="1606" w:type="dxa"/>
            <w:vAlign w:val="center"/>
          </w:tcPr>
          <w:p w14:paraId="7834D8BC">
            <w:pPr>
              <w:widowControl/>
              <w:spacing w:line="240" w:lineRule="atLeast"/>
              <w:ind w:firstLine="0" w:firstLineChars="0"/>
              <w:jc w:val="center"/>
              <w:rPr>
                <w:szCs w:val="24"/>
                <w:lang w:bidi="ar"/>
              </w:rPr>
            </w:pPr>
            <w:r>
              <w:rPr>
                <w:szCs w:val="24"/>
                <w:lang w:bidi="ar"/>
              </w:rPr>
              <w:t>30</w:t>
            </w:r>
          </w:p>
        </w:tc>
        <w:tc>
          <w:tcPr>
            <w:tcW w:w="1813" w:type="dxa"/>
            <w:vAlign w:val="center"/>
          </w:tcPr>
          <w:p w14:paraId="79DE4054">
            <w:pPr>
              <w:widowControl/>
              <w:ind w:firstLine="0" w:firstLineChars="0"/>
              <w:jc w:val="center"/>
              <w:textAlignment w:val="center"/>
              <w:rPr>
                <w:szCs w:val="24"/>
                <w:lang w:bidi="ar"/>
              </w:rPr>
            </w:pPr>
            <w:r>
              <w:rPr>
                <w:color w:val="000000"/>
                <w:kern w:val="0"/>
                <w:szCs w:val="24"/>
                <w:lang w:bidi="ar"/>
              </w:rPr>
              <w:t>5.1%</w:t>
            </w:r>
          </w:p>
        </w:tc>
      </w:tr>
      <w:tr w14:paraId="123C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AA2A4C7">
            <w:pPr>
              <w:widowControl/>
              <w:spacing w:line="240" w:lineRule="atLeast"/>
              <w:ind w:firstLine="0" w:firstLineChars="0"/>
              <w:jc w:val="center"/>
              <w:rPr>
                <w:szCs w:val="24"/>
                <w:lang w:bidi="ar"/>
              </w:rPr>
            </w:pPr>
            <w:r>
              <w:rPr>
                <w:szCs w:val="24"/>
                <w:lang w:bidi="ar"/>
              </w:rPr>
              <w:t>4</w:t>
            </w:r>
          </w:p>
        </w:tc>
        <w:tc>
          <w:tcPr>
            <w:tcW w:w="4563" w:type="dxa"/>
            <w:vAlign w:val="center"/>
          </w:tcPr>
          <w:p w14:paraId="672FE2B6">
            <w:pPr>
              <w:widowControl/>
              <w:spacing w:line="240" w:lineRule="atLeast"/>
              <w:ind w:firstLine="0" w:firstLineChars="0"/>
              <w:jc w:val="center"/>
              <w:rPr>
                <w:szCs w:val="24"/>
                <w:lang w:bidi="ar"/>
              </w:rPr>
            </w:pPr>
            <w:r>
              <w:rPr>
                <w:szCs w:val="24"/>
              </w:rPr>
              <w:t>涂料制造（C2641）</w:t>
            </w:r>
          </w:p>
        </w:tc>
        <w:tc>
          <w:tcPr>
            <w:tcW w:w="1606" w:type="dxa"/>
            <w:vAlign w:val="center"/>
          </w:tcPr>
          <w:p w14:paraId="6C712913">
            <w:pPr>
              <w:widowControl/>
              <w:spacing w:line="240" w:lineRule="atLeast"/>
              <w:ind w:firstLine="0" w:firstLineChars="0"/>
              <w:jc w:val="center"/>
              <w:rPr>
                <w:szCs w:val="24"/>
                <w:lang w:bidi="ar"/>
              </w:rPr>
            </w:pPr>
            <w:r>
              <w:rPr>
                <w:szCs w:val="24"/>
                <w:lang w:bidi="ar"/>
              </w:rPr>
              <w:t>85</w:t>
            </w:r>
          </w:p>
        </w:tc>
        <w:tc>
          <w:tcPr>
            <w:tcW w:w="1813" w:type="dxa"/>
            <w:vAlign w:val="center"/>
          </w:tcPr>
          <w:p w14:paraId="58231220">
            <w:pPr>
              <w:widowControl/>
              <w:ind w:firstLine="0" w:firstLineChars="0"/>
              <w:jc w:val="center"/>
              <w:textAlignment w:val="center"/>
              <w:rPr>
                <w:szCs w:val="24"/>
                <w:lang w:bidi="ar"/>
              </w:rPr>
            </w:pPr>
            <w:r>
              <w:rPr>
                <w:color w:val="000000"/>
                <w:kern w:val="0"/>
                <w:szCs w:val="24"/>
                <w:lang w:bidi="ar"/>
              </w:rPr>
              <w:t>14.5%</w:t>
            </w:r>
          </w:p>
        </w:tc>
      </w:tr>
      <w:tr w14:paraId="451B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EA71746">
            <w:pPr>
              <w:widowControl/>
              <w:spacing w:line="240" w:lineRule="atLeast"/>
              <w:ind w:firstLine="0" w:firstLineChars="0"/>
              <w:jc w:val="center"/>
              <w:rPr>
                <w:szCs w:val="24"/>
                <w:lang w:bidi="ar"/>
              </w:rPr>
            </w:pPr>
            <w:r>
              <w:rPr>
                <w:szCs w:val="24"/>
                <w:lang w:bidi="ar"/>
              </w:rPr>
              <w:t>5</w:t>
            </w:r>
          </w:p>
        </w:tc>
        <w:tc>
          <w:tcPr>
            <w:tcW w:w="4563" w:type="dxa"/>
            <w:vAlign w:val="center"/>
          </w:tcPr>
          <w:p w14:paraId="0168A705">
            <w:pPr>
              <w:widowControl/>
              <w:spacing w:line="240" w:lineRule="atLeast"/>
              <w:ind w:firstLine="0" w:firstLineChars="0"/>
              <w:jc w:val="center"/>
              <w:rPr>
                <w:szCs w:val="24"/>
                <w:lang w:bidi="ar"/>
              </w:rPr>
            </w:pPr>
            <w:r>
              <w:rPr>
                <w:szCs w:val="24"/>
              </w:rPr>
              <w:t>染料制造（C2645）</w:t>
            </w:r>
          </w:p>
        </w:tc>
        <w:tc>
          <w:tcPr>
            <w:tcW w:w="1606" w:type="dxa"/>
            <w:vAlign w:val="center"/>
          </w:tcPr>
          <w:p w14:paraId="69D77A72">
            <w:pPr>
              <w:widowControl/>
              <w:spacing w:line="240" w:lineRule="atLeast"/>
              <w:ind w:firstLine="0" w:firstLineChars="0"/>
              <w:jc w:val="center"/>
              <w:rPr>
                <w:szCs w:val="24"/>
                <w:lang w:bidi="ar"/>
              </w:rPr>
            </w:pPr>
            <w:r>
              <w:rPr>
                <w:szCs w:val="24"/>
                <w:lang w:bidi="ar"/>
              </w:rPr>
              <w:t>13</w:t>
            </w:r>
          </w:p>
        </w:tc>
        <w:tc>
          <w:tcPr>
            <w:tcW w:w="1813" w:type="dxa"/>
            <w:vAlign w:val="center"/>
          </w:tcPr>
          <w:p w14:paraId="18F2F1DD">
            <w:pPr>
              <w:widowControl/>
              <w:ind w:firstLine="0" w:firstLineChars="0"/>
              <w:jc w:val="center"/>
              <w:textAlignment w:val="center"/>
              <w:rPr>
                <w:szCs w:val="24"/>
                <w:lang w:bidi="ar"/>
              </w:rPr>
            </w:pPr>
            <w:r>
              <w:rPr>
                <w:color w:val="000000"/>
                <w:kern w:val="0"/>
                <w:szCs w:val="24"/>
                <w:lang w:bidi="ar"/>
              </w:rPr>
              <w:t>2.2%</w:t>
            </w:r>
          </w:p>
        </w:tc>
      </w:tr>
      <w:tr w14:paraId="25CE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F1BA4CC">
            <w:pPr>
              <w:widowControl/>
              <w:spacing w:line="240" w:lineRule="atLeast"/>
              <w:ind w:firstLine="0" w:firstLineChars="0"/>
              <w:jc w:val="center"/>
              <w:rPr>
                <w:szCs w:val="24"/>
                <w:lang w:bidi="ar"/>
              </w:rPr>
            </w:pPr>
            <w:r>
              <w:rPr>
                <w:szCs w:val="24"/>
                <w:lang w:bidi="ar"/>
              </w:rPr>
              <w:t>6</w:t>
            </w:r>
          </w:p>
        </w:tc>
        <w:tc>
          <w:tcPr>
            <w:tcW w:w="4563" w:type="dxa"/>
            <w:vAlign w:val="center"/>
          </w:tcPr>
          <w:p w14:paraId="769FE9B9">
            <w:pPr>
              <w:widowControl/>
              <w:spacing w:line="240" w:lineRule="atLeast"/>
              <w:ind w:firstLine="0" w:firstLineChars="0"/>
              <w:jc w:val="center"/>
              <w:rPr>
                <w:szCs w:val="24"/>
                <w:lang w:bidi="ar"/>
              </w:rPr>
            </w:pPr>
            <w:r>
              <w:rPr>
                <w:szCs w:val="24"/>
              </w:rPr>
              <w:t>密封用填料及类似品制造（C2646）</w:t>
            </w:r>
          </w:p>
        </w:tc>
        <w:tc>
          <w:tcPr>
            <w:tcW w:w="1606" w:type="dxa"/>
            <w:vAlign w:val="center"/>
          </w:tcPr>
          <w:p w14:paraId="01530E17">
            <w:pPr>
              <w:widowControl/>
              <w:spacing w:line="240" w:lineRule="atLeast"/>
              <w:ind w:firstLine="0" w:firstLineChars="0"/>
              <w:jc w:val="center"/>
              <w:rPr>
                <w:szCs w:val="24"/>
                <w:lang w:bidi="ar"/>
              </w:rPr>
            </w:pPr>
            <w:r>
              <w:rPr>
                <w:szCs w:val="24"/>
                <w:lang w:bidi="ar"/>
              </w:rPr>
              <w:t>2</w:t>
            </w:r>
          </w:p>
        </w:tc>
        <w:tc>
          <w:tcPr>
            <w:tcW w:w="1813" w:type="dxa"/>
            <w:vAlign w:val="center"/>
          </w:tcPr>
          <w:p w14:paraId="3A4E0BE0">
            <w:pPr>
              <w:widowControl/>
              <w:ind w:firstLine="0" w:firstLineChars="0"/>
              <w:jc w:val="center"/>
              <w:textAlignment w:val="center"/>
              <w:rPr>
                <w:szCs w:val="24"/>
                <w:lang w:bidi="ar"/>
              </w:rPr>
            </w:pPr>
            <w:r>
              <w:rPr>
                <w:color w:val="000000"/>
                <w:kern w:val="0"/>
                <w:szCs w:val="24"/>
                <w:lang w:bidi="ar"/>
              </w:rPr>
              <w:t>0.3%</w:t>
            </w:r>
          </w:p>
        </w:tc>
      </w:tr>
      <w:tr w14:paraId="79E5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14451CF">
            <w:pPr>
              <w:widowControl/>
              <w:spacing w:line="240" w:lineRule="atLeast"/>
              <w:ind w:firstLine="0" w:firstLineChars="0"/>
              <w:jc w:val="center"/>
              <w:rPr>
                <w:szCs w:val="24"/>
                <w:lang w:bidi="ar"/>
              </w:rPr>
            </w:pPr>
            <w:r>
              <w:rPr>
                <w:szCs w:val="24"/>
                <w:lang w:bidi="ar"/>
              </w:rPr>
              <w:t>7</w:t>
            </w:r>
          </w:p>
        </w:tc>
        <w:tc>
          <w:tcPr>
            <w:tcW w:w="4563" w:type="dxa"/>
            <w:vAlign w:val="center"/>
          </w:tcPr>
          <w:p w14:paraId="373DE9C0">
            <w:pPr>
              <w:widowControl/>
              <w:spacing w:line="240" w:lineRule="atLeast"/>
              <w:ind w:firstLine="0" w:firstLineChars="0"/>
              <w:jc w:val="center"/>
              <w:rPr>
                <w:szCs w:val="24"/>
                <w:lang w:bidi="ar"/>
              </w:rPr>
            </w:pPr>
            <w:r>
              <w:rPr>
                <w:szCs w:val="24"/>
              </w:rPr>
              <w:t>合成材料制造（C265）</w:t>
            </w:r>
          </w:p>
        </w:tc>
        <w:tc>
          <w:tcPr>
            <w:tcW w:w="1606" w:type="dxa"/>
            <w:vAlign w:val="center"/>
          </w:tcPr>
          <w:p w14:paraId="196B48C7">
            <w:pPr>
              <w:widowControl/>
              <w:spacing w:line="240" w:lineRule="atLeast"/>
              <w:ind w:firstLine="0" w:firstLineChars="0"/>
              <w:jc w:val="center"/>
              <w:rPr>
                <w:szCs w:val="24"/>
                <w:lang w:bidi="ar"/>
              </w:rPr>
            </w:pPr>
            <w:r>
              <w:rPr>
                <w:szCs w:val="24"/>
                <w:lang w:bidi="ar"/>
              </w:rPr>
              <w:t>41</w:t>
            </w:r>
          </w:p>
        </w:tc>
        <w:tc>
          <w:tcPr>
            <w:tcW w:w="1813" w:type="dxa"/>
            <w:vAlign w:val="center"/>
          </w:tcPr>
          <w:p w14:paraId="5F449695">
            <w:pPr>
              <w:widowControl/>
              <w:ind w:firstLine="0" w:firstLineChars="0"/>
              <w:jc w:val="center"/>
              <w:textAlignment w:val="center"/>
              <w:rPr>
                <w:szCs w:val="24"/>
                <w:lang w:bidi="ar"/>
              </w:rPr>
            </w:pPr>
            <w:r>
              <w:rPr>
                <w:color w:val="000000"/>
                <w:kern w:val="0"/>
                <w:szCs w:val="24"/>
                <w:lang w:bidi="ar"/>
              </w:rPr>
              <w:t>7.0%</w:t>
            </w:r>
          </w:p>
        </w:tc>
      </w:tr>
      <w:tr w14:paraId="3E56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4D83EDE">
            <w:pPr>
              <w:widowControl/>
              <w:spacing w:line="240" w:lineRule="atLeast"/>
              <w:ind w:firstLine="0" w:firstLineChars="0"/>
              <w:jc w:val="center"/>
              <w:rPr>
                <w:szCs w:val="24"/>
                <w:lang w:bidi="ar"/>
              </w:rPr>
            </w:pPr>
            <w:r>
              <w:rPr>
                <w:szCs w:val="24"/>
                <w:lang w:bidi="ar"/>
              </w:rPr>
              <w:t>8</w:t>
            </w:r>
          </w:p>
        </w:tc>
        <w:tc>
          <w:tcPr>
            <w:tcW w:w="4563" w:type="dxa"/>
            <w:vAlign w:val="center"/>
          </w:tcPr>
          <w:p w14:paraId="473265C5">
            <w:pPr>
              <w:keepNext/>
              <w:keepLines/>
              <w:widowControl/>
              <w:spacing w:line="240" w:lineRule="atLeast"/>
              <w:ind w:firstLine="0" w:firstLineChars="0"/>
              <w:jc w:val="center"/>
              <w:rPr>
                <w:szCs w:val="24"/>
              </w:rPr>
            </w:pPr>
            <w:bookmarkStart w:id="60" w:name="_Toc149313341"/>
            <w:r>
              <w:rPr>
                <w:szCs w:val="24"/>
              </w:rPr>
              <w:t>专用化学产品制造（不含无机化学品制造）（C266）</w:t>
            </w:r>
            <w:bookmarkEnd w:id="60"/>
          </w:p>
        </w:tc>
        <w:tc>
          <w:tcPr>
            <w:tcW w:w="1606" w:type="dxa"/>
            <w:vAlign w:val="center"/>
          </w:tcPr>
          <w:p w14:paraId="0C594201">
            <w:pPr>
              <w:keepNext/>
              <w:keepLines/>
              <w:widowControl/>
              <w:spacing w:line="240" w:lineRule="atLeast"/>
              <w:ind w:firstLine="0" w:firstLineChars="0"/>
              <w:jc w:val="center"/>
              <w:rPr>
                <w:szCs w:val="24"/>
                <w:lang w:bidi="ar"/>
              </w:rPr>
            </w:pPr>
            <w:bookmarkStart w:id="61" w:name="_Toc149313342"/>
            <w:r>
              <w:rPr>
                <w:szCs w:val="24"/>
                <w:lang w:bidi="ar"/>
              </w:rPr>
              <w:t>228</w:t>
            </w:r>
            <w:bookmarkEnd w:id="61"/>
          </w:p>
        </w:tc>
        <w:tc>
          <w:tcPr>
            <w:tcW w:w="1813" w:type="dxa"/>
            <w:vAlign w:val="center"/>
          </w:tcPr>
          <w:p w14:paraId="29D11013">
            <w:pPr>
              <w:widowControl/>
              <w:spacing w:line="240" w:lineRule="auto"/>
              <w:ind w:firstLine="0" w:firstLineChars="0"/>
              <w:jc w:val="center"/>
              <w:textAlignment w:val="center"/>
              <w:rPr>
                <w:szCs w:val="24"/>
                <w:lang w:bidi="ar"/>
              </w:rPr>
            </w:pPr>
            <w:r>
              <w:rPr>
                <w:color w:val="000000"/>
                <w:kern w:val="0"/>
                <w:szCs w:val="24"/>
                <w:lang w:bidi="ar"/>
              </w:rPr>
              <w:t>39.0%</w:t>
            </w:r>
          </w:p>
        </w:tc>
      </w:tr>
      <w:tr w14:paraId="133D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E0A1DA5">
            <w:pPr>
              <w:widowControl/>
              <w:spacing w:line="240" w:lineRule="atLeast"/>
              <w:ind w:firstLine="0" w:firstLineChars="0"/>
              <w:jc w:val="center"/>
              <w:rPr>
                <w:szCs w:val="24"/>
                <w:lang w:bidi="ar"/>
              </w:rPr>
            </w:pPr>
            <w:r>
              <w:rPr>
                <w:szCs w:val="24"/>
                <w:lang w:bidi="ar"/>
              </w:rPr>
              <w:t>9</w:t>
            </w:r>
          </w:p>
        </w:tc>
        <w:tc>
          <w:tcPr>
            <w:tcW w:w="4563" w:type="dxa"/>
            <w:vAlign w:val="center"/>
          </w:tcPr>
          <w:p w14:paraId="05FE50CF">
            <w:pPr>
              <w:keepNext/>
              <w:keepLines/>
              <w:widowControl/>
              <w:spacing w:line="240" w:lineRule="atLeast"/>
              <w:ind w:firstLine="0" w:firstLineChars="0"/>
              <w:jc w:val="center"/>
              <w:rPr>
                <w:szCs w:val="24"/>
              </w:rPr>
            </w:pPr>
            <w:bookmarkStart w:id="62" w:name="_Toc149313343"/>
            <w:r>
              <w:rPr>
                <w:szCs w:val="24"/>
              </w:rPr>
              <w:t>日用化学产品制造（C268）</w:t>
            </w:r>
            <w:bookmarkEnd w:id="62"/>
          </w:p>
        </w:tc>
        <w:tc>
          <w:tcPr>
            <w:tcW w:w="1606" w:type="dxa"/>
            <w:vAlign w:val="center"/>
          </w:tcPr>
          <w:p w14:paraId="31F6F770">
            <w:pPr>
              <w:keepNext/>
              <w:keepLines/>
              <w:widowControl/>
              <w:spacing w:line="240" w:lineRule="atLeast"/>
              <w:ind w:firstLine="0" w:firstLineChars="0"/>
              <w:jc w:val="center"/>
              <w:rPr>
                <w:szCs w:val="24"/>
                <w:lang w:bidi="ar"/>
              </w:rPr>
            </w:pPr>
            <w:bookmarkStart w:id="63" w:name="_Toc149313344"/>
            <w:r>
              <w:rPr>
                <w:szCs w:val="24"/>
                <w:lang w:bidi="ar"/>
              </w:rPr>
              <w:t>54</w:t>
            </w:r>
            <w:bookmarkEnd w:id="63"/>
          </w:p>
        </w:tc>
        <w:tc>
          <w:tcPr>
            <w:tcW w:w="1813" w:type="dxa"/>
            <w:vAlign w:val="center"/>
          </w:tcPr>
          <w:p w14:paraId="2ED99516">
            <w:pPr>
              <w:widowControl/>
              <w:spacing w:line="240" w:lineRule="auto"/>
              <w:ind w:firstLine="0" w:firstLineChars="0"/>
              <w:jc w:val="center"/>
              <w:textAlignment w:val="center"/>
              <w:rPr>
                <w:szCs w:val="24"/>
                <w:lang w:bidi="ar"/>
              </w:rPr>
            </w:pPr>
            <w:r>
              <w:rPr>
                <w:color w:val="000000"/>
                <w:kern w:val="0"/>
                <w:szCs w:val="24"/>
                <w:lang w:bidi="ar"/>
              </w:rPr>
              <w:t>9.2%</w:t>
            </w:r>
          </w:p>
        </w:tc>
      </w:tr>
      <w:tr w14:paraId="78F3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6" w:type="dxa"/>
            <w:gridSpan w:val="2"/>
            <w:vAlign w:val="center"/>
          </w:tcPr>
          <w:p w14:paraId="24525074">
            <w:pPr>
              <w:widowControl/>
              <w:spacing w:line="240" w:lineRule="atLeast"/>
              <w:ind w:firstLine="0" w:firstLineChars="0"/>
              <w:jc w:val="center"/>
              <w:rPr>
                <w:b/>
                <w:szCs w:val="24"/>
              </w:rPr>
            </w:pPr>
            <w:r>
              <w:rPr>
                <w:b/>
                <w:szCs w:val="24"/>
                <w:lang w:bidi="ar"/>
              </w:rPr>
              <w:t>总计</w:t>
            </w:r>
          </w:p>
        </w:tc>
        <w:tc>
          <w:tcPr>
            <w:tcW w:w="1606" w:type="dxa"/>
            <w:vAlign w:val="center"/>
          </w:tcPr>
          <w:p w14:paraId="24B07E45">
            <w:pPr>
              <w:widowControl/>
              <w:spacing w:line="240" w:lineRule="atLeast"/>
              <w:ind w:firstLine="0" w:firstLineChars="0"/>
              <w:jc w:val="center"/>
              <w:rPr>
                <w:b/>
                <w:szCs w:val="24"/>
                <w:lang w:bidi="ar"/>
              </w:rPr>
            </w:pPr>
            <w:r>
              <w:rPr>
                <w:b/>
                <w:szCs w:val="24"/>
                <w:lang w:bidi="ar"/>
              </w:rPr>
              <w:t>584</w:t>
            </w:r>
          </w:p>
        </w:tc>
        <w:tc>
          <w:tcPr>
            <w:tcW w:w="1813" w:type="dxa"/>
            <w:vAlign w:val="center"/>
          </w:tcPr>
          <w:p w14:paraId="5F4BE082">
            <w:pPr>
              <w:widowControl/>
              <w:spacing w:line="240" w:lineRule="atLeast"/>
              <w:ind w:firstLine="0" w:firstLineChars="0"/>
              <w:jc w:val="center"/>
              <w:rPr>
                <w:b/>
                <w:szCs w:val="24"/>
                <w:lang w:bidi="ar"/>
              </w:rPr>
            </w:pPr>
            <w:r>
              <w:rPr>
                <w:b/>
                <w:szCs w:val="24"/>
                <w:lang w:bidi="ar"/>
              </w:rPr>
              <w:t>100</w:t>
            </w:r>
            <w:r>
              <w:rPr>
                <w:b/>
                <w:kern w:val="0"/>
                <w:szCs w:val="24"/>
                <w:lang w:bidi="ar"/>
              </w:rPr>
              <w:t>%</w:t>
            </w:r>
          </w:p>
        </w:tc>
      </w:tr>
    </w:tbl>
    <w:p w14:paraId="02263C4E">
      <w:pPr>
        <w:widowControl/>
        <w:ind w:firstLine="480"/>
        <w:jc w:val="left"/>
      </w:pPr>
    </w:p>
    <w:p w14:paraId="1073AB49">
      <w:pPr>
        <w:widowControl/>
        <w:ind w:firstLine="480"/>
        <w:jc w:val="left"/>
      </w:pPr>
    </w:p>
    <w:p w14:paraId="6274853F">
      <w:pPr>
        <w:widowControl/>
        <w:ind w:firstLine="480"/>
        <w:jc w:val="center"/>
      </w:pPr>
      <w:r>
        <w:drawing>
          <wp:inline distT="0" distB="0" distL="114300" distR="114300">
            <wp:extent cx="4572000" cy="2743200"/>
            <wp:effectExtent l="0" t="0" r="0" b="0"/>
            <wp:docPr id="5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32D5AF5">
      <w:pPr>
        <w:widowControl/>
        <w:ind w:firstLine="482"/>
        <w:jc w:val="center"/>
        <w:rPr>
          <w:b/>
          <w:bCs/>
          <w:lang w:bidi="ar"/>
        </w:rPr>
      </w:pPr>
      <w:r>
        <w:rPr>
          <w:b/>
          <w:bCs/>
          <w:lang w:bidi="ar"/>
        </w:rPr>
        <w:t>图3.1-1</w:t>
      </w:r>
      <w:r>
        <w:rPr>
          <w:rFonts w:hint="eastAsia"/>
          <w:b/>
          <w:bCs/>
          <w:lang w:bidi="ar"/>
        </w:rPr>
        <w:t xml:space="preserve">  </w:t>
      </w:r>
      <w:r>
        <w:rPr>
          <w:b/>
          <w:bCs/>
          <w:lang w:bidi="ar"/>
        </w:rPr>
        <w:t>江西省有机化工企业的行业分布图</w:t>
      </w:r>
    </w:p>
    <w:p w14:paraId="5C1252F7">
      <w:pPr>
        <w:widowControl/>
        <w:ind w:firstLine="480" w:firstLineChars="0"/>
        <w:rPr>
          <w:color w:val="FF0000"/>
          <w:lang w:bidi="ar"/>
        </w:rPr>
      </w:pPr>
      <w:r>
        <w:rPr>
          <w:lang w:bidi="ar"/>
        </w:rPr>
        <w:t>从表3.1-1和图3.1-1可知，专用化学产品制造企业数量约占全省有机化工行业企业总数的39.0%，其次为涂料制造企业，占比约为14.5%，有机化学原料制造企业数量占比约为14.4%。其余行业的企业数量相对较少。</w:t>
      </w:r>
    </w:p>
    <w:p w14:paraId="70CD8DA0">
      <w:pPr>
        <w:pStyle w:val="6"/>
        <w:keepNext w:val="0"/>
        <w:keepLines w:val="0"/>
        <w:widowControl/>
        <w:jc w:val="left"/>
        <w:rPr>
          <w:rFonts w:ascii="Times New Roman" w:hAnsi="Times New Roman"/>
          <w:color w:val="000000"/>
          <w:kern w:val="0"/>
          <w:szCs w:val="32"/>
          <w:lang w:bidi="ar"/>
        </w:rPr>
      </w:pPr>
      <w:r>
        <w:rPr>
          <w:rFonts w:ascii="Times New Roman" w:hAnsi="Times New Roman"/>
          <w:color w:val="000000"/>
          <w:kern w:val="0"/>
          <w:szCs w:val="32"/>
          <w:lang w:bidi="ar"/>
        </w:rPr>
        <w:t>3.1.2.2 区域分布</w:t>
      </w:r>
    </w:p>
    <w:p w14:paraId="7567360A">
      <w:pPr>
        <w:widowControl/>
        <w:ind w:firstLine="480" w:firstLineChars="0"/>
      </w:pPr>
      <w:r>
        <w:rPr>
          <w:lang w:bidi="ar"/>
        </w:rPr>
        <w:t>根据2021年环统数据统计，有机化工企业在我省各地市均有分布，其中宜春、吉安、九江、上饶、抚州、赣州六个地市的有机化工企业占所统计数量占重点企业总数的10%及以上；该类型企业在萍乡、新余相对较少，仅占总数的1</w:t>
      </w:r>
      <w:r>
        <w:rPr>
          <w:rFonts w:hint="eastAsia"/>
          <w:lang w:eastAsia="zh-CN" w:bidi="ar"/>
        </w:rPr>
        <w:t>%～</w:t>
      </w:r>
      <w:r>
        <w:rPr>
          <w:lang w:bidi="ar"/>
        </w:rPr>
        <w:t>2%左右。江西省有机化工企业区域分布情况见图3.1-2。</w:t>
      </w:r>
    </w:p>
    <w:p w14:paraId="13C13755">
      <w:pPr>
        <w:widowControl/>
        <w:ind w:firstLine="0" w:firstLineChars="0"/>
        <w:jc w:val="left"/>
      </w:pPr>
      <w:r>
        <w:drawing>
          <wp:inline distT="0" distB="0" distL="114300" distR="114300">
            <wp:extent cx="5551805" cy="3330575"/>
            <wp:effectExtent l="0" t="0" r="10795" b="3175"/>
            <wp:docPr id="5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3C19F58">
      <w:pPr>
        <w:widowControl/>
        <w:spacing w:line="240" w:lineRule="atLeast"/>
        <w:ind w:firstLine="482"/>
        <w:jc w:val="center"/>
        <w:rPr>
          <w:color w:val="000000"/>
          <w:kern w:val="0"/>
          <w:szCs w:val="32"/>
          <w:lang w:bidi="ar"/>
        </w:rPr>
      </w:pPr>
      <w:r>
        <w:rPr>
          <w:b/>
          <w:bCs/>
          <w:lang w:bidi="ar"/>
        </w:rPr>
        <w:t>图3.1-2</w:t>
      </w:r>
      <w:r>
        <w:rPr>
          <w:rFonts w:hint="eastAsia"/>
          <w:b/>
          <w:bCs/>
          <w:lang w:bidi="ar"/>
        </w:rPr>
        <w:t xml:space="preserve">  </w:t>
      </w:r>
      <w:r>
        <w:rPr>
          <w:b/>
          <w:bCs/>
          <w:color w:val="000000"/>
          <w:lang w:bidi="ar"/>
        </w:rPr>
        <w:t>江西省有机化工企业的区域分布</w:t>
      </w:r>
      <w:r>
        <w:rPr>
          <w:b/>
          <w:bCs/>
          <w:lang w:bidi="ar"/>
        </w:rPr>
        <w:t>图</w:t>
      </w:r>
    </w:p>
    <w:p w14:paraId="17326B3B">
      <w:pPr>
        <w:pStyle w:val="5"/>
        <w:keepNext w:val="0"/>
        <w:keepLines w:val="0"/>
        <w:widowControl/>
        <w:spacing w:before="0" w:after="0"/>
        <w:jc w:val="left"/>
      </w:pPr>
      <w:bookmarkStart w:id="64" w:name="_Toc159926924"/>
      <w:bookmarkStart w:id="65" w:name="_Toc22631"/>
      <w:bookmarkStart w:id="66" w:name="_Toc452"/>
      <w:r>
        <w:t>3.1.3 有机化工行业VOCs排放情况</w:t>
      </w:r>
      <w:bookmarkEnd w:id="64"/>
      <w:bookmarkEnd w:id="65"/>
      <w:bookmarkEnd w:id="66"/>
    </w:p>
    <w:p w14:paraId="0DAD41F5">
      <w:pPr>
        <w:widowControl/>
        <w:ind w:firstLine="480" w:firstLineChars="0"/>
        <w:jc w:val="left"/>
      </w:pPr>
      <w:r>
        <w:t>根据2021年环统数据，我省涉有机化工行业重点企业VOCs排放量约为9035.7 t/a。其中，农药制造行业VOCs排放量最大，约为4193.5 t/a，占比约为46.41%，其中江西天宇化工有限公司VOCs排放量为2829.5 t/a。有机化学原料制造业VOCs排放量为1984.5 t/a，占比约为21.96%，其中江西蓝星星火有机硅有限公司VOCs排放量为826.5 t/a，江西理文化工有限公司VOCs排放量为456.6 t/a。</w:t>
      </w:r>
    </w:p>
    <w:p w14:paraId="0F956514">
      <w:pPr>
        <w:widowControl/>
        <w:spacing w:line="240" w:lineRule="atLeast"/>
        <w:ind w:firstLine="482"/>
        <w:jc w:val="center"/>
      </w:pPr>
      <w:r>
        <w:rPr>
          <w:b/>
          <w:bCs/>
          <w:lang w:bidi="ar"/>
        </w:rPr>
        <w:t>表3.1-</w:t>
      </w:r>
      <w:r>
        <w:rPr>
          <w:rFonts w:hint="eastAsia"/>
          <w:b/>
          <w:bCs/>
          <w:lang w:bidi="ar"/>
        </w:rPr>
        <w:t xml:space="preserve">2  </w:t>
      </w:r>
      <w:r>
        <w:rPr>
          <w:b/>
          <w:bCs/>
          <w:lang w:bidi="ar"/>
        </w:rPr>
        <w:t>我省涉有机化工行业VOCs排放量统计表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943"/>
        <w:gridCol w:w="2200"/>
      </w:tblGrid>
      <w:tr w14:paraId="65E7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43" w:type="dxa"/>
            <w:vAlign w:val="center"/>
          </w:tcPr>
          <w:p w14:paraId="0FBAB3FB">
            <w:pPr>
              <w:widowControl/>
              <w:spacing w:line="240" w:lineRule="atLeast"/>
              <w:ind w:firstLine="0" w:firstLineChars="0"/>
              <w:jc w:val="center"/>
              <w:rPr>
                <w:b/>
                <w:bCs/>
                <w:szCs w:val="24"/>
                <w:lang w:bidi="ar"/>
              </w:rPr>
            </w:pPr>
            <w:r>
              <w:rPr>
                <w:b/>
                <w:bCs/>
                <w:szCs w:val="24"/>
                <w:lang w:bidi="ar"/>
              </w:rPr>
              <w:t>序号</w:t>
            </w:r>
          </w:p>
        </w:tc>
        <w:tc>
          <w:tcPr>
            <w:tcW w:w="4943" w:type="dxa"/>
            <w:vAlign w:val="center"/>
          </w:tcPr>
          <w:p w14:paraId="08001EE9">
            <w:pPr>
              <w:widowControl/>
              <w:spacing w:line="240" w:lineRule="atLeast"/>
              <w:ind w:firstLine="0" w:firstLineChars="0"/>
              <w:jc w:val="center"/>
              <w:rPr>
                <w:b/>
                <w:bCs/>
                <w:szCs w:val="24"/>
                <w:lang w:bidi="ar"/>
              </w:rPr>
            </w:pPr>
            <w:r>
              <w:rPr>
                <w:b/>
                <w:bCs/>
                <w:szCs w:val="24"/>
                <w:lang w:bidi="ar"/>
              </w:rPr>
              <w:t>国民经济行业类别</w:t>
            </w:r>
          </w:p>
        </w:tc>
        <w:tc>
          <w:tcPr>
            <w:tcW w:w="2200" w:type="dxa"/>
            <w:vAlign w:val="center"/>
          </w:tcPr>
          <w:p w14:paraId="432DA3A7">
            <w:pPr>
              <w:widowControl/>
              <w:spacing w:line="240" w:lineRule="atLeast"/>
              <w:ind w:firstLine="0" w:firstLineChars="0"/>
              <w:rPr>
                <w:b/>
                <w:bCs/>
                <w:szCs w:val="24"/>
                <w:lang w:bidi="ar"/>
              </w:rPr>
            </w:pPr>
            <w:r>
              <w:rPr>
                <w:b/>
                <w:bCs/>
                <w:lang w:bidi="ar"/>
              </w:rPr>
              <w:t>VOCs排放量(t/a)</w:t>
            </w:r>
          </w:p>
        </w:tc>
      </w:tr>
      <w:tr w14:paraId="0001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9648AF9">
            <w:pPr>
              <w:widowControl/>
              <w:spacing w:line="240" w:lineRule="atLeast"/>
              <w:ind w:firstLine="0" w:firstLineChars="0"/>
              <w:jc w:val="center"/>
              <w:rPr>
                <w:szCs w:val="24"/>
                <w:lang w:bidi="ar"/>
              </w:rPr>
            </w:pPr>
            <w:r>
              <w:rPr>
                <w:szCs w:val="24"/>
                <w:lang w:bidi="ar"/>
              </w:rPr>
              <w:t>1</w:t>
            </w:r>
          </w:p>
        </w:tc>
        <w:tc>
          <w:tcPr>
            <w:tcW w:w="4943" w:type="dxa"/>
            <w:vAlign w:val="center"/>
          </w:tcPr>
          <w:p w14:paraId="618BC7CF">
            <w:pPr>
              <w:widowControl/>
              <w:spacing w:line="240" w:lineRule="atLeast"/>
              <w:ind w:firstLine="0" w:firstLineChars="0"/>
              <w:jc w:val="center"/>
              <w:rPr>
                <w:szCs w:val="24"/>
                <w:lang w:bidi="ar"/>
              </w:rPr>
            </w:pPr>
            <w:r>
              <w:rPr>
                <w:szCs w:val="24"/>
              </w:rPr>
              <w:t>有机化学原料制造（C2614）</w:t>
            </w:r>
          </w:p>
        </w:tc>
        <w:tc>
          <w:tcPr>
            <w:tcW w:w="2200" w:type="dxa"/>
            <w:vAlign w:val="bottom"/>
          </w:tcPr>
          <w:p w14:paraId="2DF86403">
            <w:pPr>
              <w:widowControl/>
              <w:ind w:firstLine="0" w:firstLineChars="0"/>
              <w:jc w:val="center"/>
              <w:textAlignment w:val="center"/>
              <w:rPr>
                <w:szCs w:val="24"/>
                <w:lang w:bidi="ar"/>
              </w:rPr>
            </w:pPr>
            <w:r>
              <w:rPr>
                <w:szCs w:val="24"/>
                <w:lang w:bidi="ar"/>
              </w:rPr>
              <w:t>1984.5</w:t>
            </w:r>
          </w:p>
        </w:tc>
      </w:tr>
      <w:tr w14:paraId="4AD4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D77F617">
            <w:pPr>
              <w:widowControl/>
              <w:spacing w:line="240" w:lineRule="atLeast"/>
              <w:ind w:firstLine="0" w:firstLineChars="0"/>
              <w:jc w:val="center"/>
              <w:rPr>
                <w:szCs w:val="24"/>
                <w:lang w:bidi="ar"/>
              </w:rPr>
            </w:pPr>
            <w:r>
              <w:rPr>
                <w:szCs w:val="24"/>
                <w:lang w:bidi="ar"/>
              </w:rPr>
              <w:t>2</w:t>
            </w:r>
          </w:p>
        </w:tc>
        <w:tc>
          <w:tcPr>
            <w:tcW w:w="4943" w:type="dxa"/>
            <w:vAlign w:val="center"/>
          </w:tcPr>
          <w:p w14:paraId="036F3707">
            <w:pPr>
              <w:widowControl/>
              <w:spacing w:line="240" w:lineRule="atLeast"/>
              <w:ind w:firstLine="0" w:firstLineChars="0"/>
              <w:jc w:val="center"/>
              <w:rPr>
                <w:szCs w:val="24"/>
                <w:lang w:bidi="ar"/>
              </w:rPr>
            </w:pPr>
            <w:r>
              <w:rPr>
                <w:szCs w:val="24"/>
              </w:rPr>
              <w:t>其他基础化学原料制造（C2619）</w:t>
            </w:r>
          </w:p>
        </w:tc>
        <w:tc>
          <w:tcPr>
            <w:tcW w:w="2200" w:type="dxa"/>
            <w:vAlign w:val="bottom"/>
          </w:tcPr>
          <w:p w14:paraId="16B1A72D">
            <w:pPr>
              <w:widowControl/>
              <w:ind w:firstLine="0" w:firstLineChars="0"/>
              <w:jc w:val="center"/>
              <w:textAlignment w:val="center"/>
              <w:rPr>
                <w:szCs w:val="24"/>
                <w:lang w:bidi="ar"/>
              </w:rPr>
            </w:pPr>
            <w:r>
              <w:rPr>
                <w:szCs w:val="24"/>
                <w:lang w:bidi="ar"/>
              </w:rPr>
              <w:t>225.4</w:t>
            </w:r>
          </w:p>
        </w:tc>
      </w:tr>
      <w:tr w14:paraId="3FE9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A7328CA">
            <w:pPr>
              <w:widowControl/>
              <w:spacing w:line="240" w:lineRule="atLeast"/>
              <w:ind w:firstLine="0" w:firstLineChars="0"/>
              <w:jc w:val="center"/>
              <w:rPr>
                <w:szCs w:val="24"/>
                <w:lang w:bidi="ar"/>
              </w:rPr>
            </w:pPr>
            <w:r>
              <w:rPr>
                <w:szCs w:val="24"/>
                <w:lang w:bidi="ar"/>
              </w:rPr>
              <w:t>3</w:t>
            </w:r>
          </w:p>
        </w:tc>
        <w:tc>
          <w:tcPr>
            <w:tcW w:w="4943" w:type="dxa"/>
            <w:vAlign w:val="center"/>
          </w:tcPr>
          <w:p w14:paraId="30C389F8">
            <w:pPr>
              <w:widowControl/>
              <w:spacing w:line="240" w:lineRule="atLeast"/>
              <w:ind w:firstLine="0" w:firstLineChars="0"/>
              <w:jc w:val="center"/>
              <w:rPr>
                <w:szCs w:val="24"/>
                <w:lang w:bidi="ar"/>
              </w:rPr>
            </w:pPr>
            <w:r>
              <w:rPr>
                <w:szCs w:val="24"/>
              </w:rPr>
              <w:t>农药制造(C263)</w:t>
            </w:r>
          </w:p>
        </w:tc>
        <w:tc>
          <w:tcPr>
            <w:tcW w:w="2200" w:type="dxa"/>
            <w:vAlign w:val="bottom"/>
          </w:tcPr>
          <w:p w14:paraId="62C7D4D2">
            <w:pPr>
              <w:widowControl/>
              <w:ind w:firstLine="0" w:firstLineChars="0"/>
              <w:jc w:val="center"/>
              <w:textAlignment w:val="center"/>
              <w:rPr>
                <w:szCs w:val="24"/>
                <w:lang w:bidi="ar"/>
              </w:rPr>
            </w:pPr>
            <w:r>
              <w:rPr>
                <w:szCs w:val="24"/>
                <w:lang w:bidi="ar"/>
              </w:rPr>
              <w:t>4193.5</w:t>
            </w:r>
          </w:p>
        </w:tc>
      </w:tr>
      <w:tr w14:paraId="6B35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20BAFAD">
            <w:pPr>
              <w:widowControl/>
              <w:spacing w:line="240" w:lineRule="atLeast"/>
              <w:ind w:firstLine="0" w:firstLineChars="0"/>
              <w:jc w:val="center"/>
              <w:rPr>
                <w:szCs w:val="24"/>
                <w:lang w:bidi="ar"/>
              </w:rPr>
            </w:pPr>
            <w:r>
              <w:rPr>
                <w:szCs w:val="24"/>
                <w:lang w:bidi="ar"/>
              </w:rPr>
              <w:t>4</w:t>
            </w:r>
          </w:p>
        </w:tc>
        <w:tc>
          <w:tcPr>
            <w:tcW w:w="4943" w:type="dxa"/>
            <w:vAlign w:val="center"/>
          </w:tcPr>
          <w:p w14:paraId="2C5342D8">
            <w:pPr>
              <w:widowControl/>
              <w:spacing w:line="240" w:lineRule="atLeast"/>
              <w:ind w:firstLine="0" w:firstLineChars="0"/>
              <w:jc w:val="center"/>
              <w:rPr>
                <w:szCs w:val="24"/>
                <w:lang w:bidi="ar"/>
              </w:rPr>
            </w:pPr>
            <w:r>
              <w:rPr>
                <w:szCs w:val="24"/>
              </w:rPr>
              <w:t>涂料制造（C2641）</w:t>
            </w:r>
          </w:p>
        </w:tc>
        <w:tc>
          <w:tcPr>
            <w:tcW w:w="2200" w:type="dxa"/>
            <w:vAlign w:val="bottom"/>
          </w:tcPr>
          <w:p w14:paraId="4ECFAFFF">
            <w:pPr>
              <w:widowControl/>
              <w:ind w:firstLine="0" w:firstLineChars="0"/>
              <w:jc w:val="center"/>
              <w:textAlignment w:val="center"/>
              <w:rPr>
                <w:szCs w:val="24"/>
                <w:lang w:bidi="ar"/>
              </w:rPr>
            </w:pPr>
            <w:r>
              <w:rPr>
                <w:szCs w:val="24"/>
                <w:lang w:bidi="ar"/>
              </w:rPr>
              <w:t>304.4</w:t>
            </w:r>
          </w:p>
        </w:tc>
      </w:tr>
      <w:tr w14:paraId="6CCC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143B906">
            <w:pPr>
              <w:widowControl/>
              <w:spacing w:line="240" w:lineRule="atLeast"/>
              <w:ind w:firstLine="0" w:firstLineChars="0"/>
              <w:jc w:val="center"/>
              <w:rPr>
                <w:szCs w:val="24"/>
                <w:lang w:bidi="ar"/>
              </w:rPr>
            </w:pPr>
            <w:r>
              <w:rPr>
                <w:szCs w:val="24"/>
                <w:lang w:bidi="ar"/>
              </w:rPr>
              <w:t>5</w:t>
            </w:r>
          </w:p>
        </w:tc>
        <w:tc>
          <w:tcPr>
            <w:tcW w:w="4943" w:type="dxa"/>
            <w:vAlign w:val="center"/>
          </w:tcPr>
          <w:p w14:paraId="1635DAE5">
            <w:pPr>
              <w:widowControl/>
              <w:spacing w:line="240" w:lineRule="atLeast"/>
              <w:ind w:firstLine="0" w:firstLineChars="0"/>
              <w:jc w:val="center"/>
              <w:rPr>
                <w:szCs w:val="24"/>
                <w:lang w:bidi="ar"/>
              </w:rPr>
            </w:pPr>
            <w:r>
              <w:rPr>
                <w:szCs w:val="24"/>
              </w:rPr>
              <w:t>染料制造（C2645）</w:t>
            </w:r>
          </w:p>
        </w:tc>
        <w:tc>
          <w:tcPr>
            <w:tcW w:w="2200" w:type="dxa"/>
            <w:vAlign w:val="bottom"/>
          </w:tcPr>
          <w:p w14:paraId="0A5BCE39">
            <w:pPr>
              <w:widowControl/>
              <w:ind w:firstLine="0" w:firstLineChars="0"/>
              <w:jc w:val="center"/>
              <w:textAlignment w:val="center"/>
              <w:rPr>
                <w:szCs w:val="24"/>
                <w:lang w:bidi="ar"/>
              </w:rPr>
            </w:pPr>
            <w:r>
              <w:rPr>
                <w:szCs w:val="24"/>
                <w:lang w:bidi="ar"/>
              </w:rPr>
              <w:t>66.4</w:t>
            </w:r>
          </w:p>
        </w:tc>
      </w:tr>
      <w:tr w14:paraId="3644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BC458EF">
            <w:pPr>
              <w:widowControl/>
              <w:spacing w:line="240" w:lineRule="atLeast"/>
              <w:ind w:firstLine="0" w:firstLineChars="0"/>
              <w:jc w:val="center"/>
              <w:rPr>
                <w:szCs w:val="24"/>
                <w:lang w:bidi="ar"/>
              </w:rPr>
            </w:pPr>
            <w:r>
              <w:rPr>
                <w:szCs w:val="24"/>
                <w:lang w:bidi="ar"/>
              </w:rPr>
              <w:t>6</w:t>
            </w:r>
          </w:p>
        </w:tc>
        <w:tc>
          <w:tcPr>
            <w:tcW w:w="4943" w:type="dxa"/>
            <w:vAlign w:val="center"/>
          </w:tcPr>
          <w:p w14:paraId="383BE84F">
            <w:pPr>
              <w:widowControl/>
              <w:spacing w:line="240" w:lineRule="atLeast"/>
              <w:ind w:firstLine="0" w:firstLineChars="0"/>
              <w:jc w:val="center"/>
              <w:rPr>
                <w:szCs w:val="24"/>
                <w:lang w:bidi="ar"/>
              </w:rPr>
            </w:pPr>
            <w:r>
              <w:rPr>
                <w:szCs w:val="24"/>
              </w:rPr>
              <w:t>密封用填料及类似品制造（C2646）</w:t>
            </w:r>
          </w:p>
        </w:tc>
        <w:tc>
          <w:tcPr>
            <w:tcW w:w="2200" w:type="dxa"/>
            <w:vAlign w:val="bottom"/>
          </w:tcPr>
          <w:p w14:paraId="3A6C943F">
            <w:pPr>
              <w:widowControl/>
              <w:ind w:firstLine="0" w:firstLineChars="0"/>
              <w:jc w:val="center"/>
              <w:textAlignment w:val="center"/>
              <w:rPr>
                <w:szCs w:val="24"/>
                <w:lang w:bidi="ar"/>
              </w:rPr>
            </w:pPr>
            <w:r>
              <w:rPr>
                <w:szCs w:val="24"/>
                <w:lang w:bidi="ar"/>
              </w:rPr>
              <w:t>0.4</w:t>
            </w:r>
          </w:p>
        </w:tc>
      </w:tr>
      <w:tr w14:paraId="2202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8E1E6F7">
            <w:pPr>
              <w:widowControl/>
              <w:spacing w:line="240" w:lineRule="atLeast"/>
              <w:ind w:firstLine="0" w:firstLineChars="0"/>
              <w:jc w:val="center"/>
              <w:rPr>
                <w:szCs w:val="24"/>
                <w:lang w:bidi="ar"/>
              </w:rPr>
            </w:pPr>
            <w:r>
              <w:rPr>
                <w:szCs w:val="24"/>
                <w:lang w:bidi="ar"/>
              </w:rPr>
              <w:t>7</w:t>
            </w:r>
          </w:p>
        </w:tc>
        <w:tc>
          <w:tcPr>
            <w:tcW w:w="4943" w:type="dxa"/>
            <w:vAlign w:val="center"/>
          </w:tcPr>
          <w:p w14:paraId="08B7D107">
            <w:pPr>
              <w:widowControl/>
              <w:spacing w:line="240" w:lineRule="atLeast"/>
              <w:ind w:firstLine="0" w:firstLineChars="0"/>
              <w:jc w:val="center"/>
              <w:rPr>
                <w:szCs w:val="24"/>
                <w:lang w:bidi="ar"/>
              </w:rPr>
            </w:pPr>
            <w:r>
              <w:rPr>
                <w:szCs w:val="24"/>
              </w:rPr>
              <w:t>合成材料制造（C265）</w:t>
            </w:r>
          </w:p>
        </w:tc>
        <w:tc>
          <w:tcPr>
            <w:tcW w:w="2200" w:type="dxa"/>
            <w:vAlign w:val="bottom"/>
          </w:tcPr>
          <w:p w14:paraId="6BEB8E18">
            <w:pPr>
              <w:widowControl/>
              <w:ind w:firstLine="0" w:firstLineChars="0"/>
              <w:jc w:val="center"/>
              <w:textAlignment w:val="center"/>
              <w:rPr>
                <w:szCs w:val="24"/>
                <w:lang w:bidi="ar"/>
              </w:rPr>
            </w:pPr>
            <w:r>
              <w:rPr>
                <w:szCs w:val="24"/>
                <w:lang w:bidi="ar"/>
              </w:rPr>
              <w:t>1002</w:t>
            </w:r>
          </w:p>
        </w:tc>
      </w:tr>
      <w:tr w14:paraId="495F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3DF7624">
            <w:pPr>
              <w:widowControl/>
              <w:spacing w:line="240" w:lineRule="atLeast"/>
              <w:ind w:firstLine="0" w:firstLineChars="0"/>
              <w:jc w:val="center"/>
              <w:rPr>
                <w:szCs w:val="24"/>
                <w:lang w:bidi="ar"/>
              </w:rPr>
            </w:pPr>
            <w:r>
              <w:rPr>
                <w:szCs w:val="24"/>
                <w:lang w:bidi="ar"/>
              </w:rPr>
              <w:t>8</w:t>
            </w:r>
          </w:p>
        </w:tc>
        <w:tc>
          <w:tcPr>
            <w:tcW w:w="4943" w:type="dxa"/>
            <w:vAlign w:val="center"/>
          </w:tcPr>
          <w:p w14:paraId="4A684D28">
            <w:pPr>
              <w:widowControl/>
              <w:spacing w:line="240" w:lineRule="atLeast"/>
              <w:ind w:firstLine="0" w:firstLineChars="0"/>
              <w:jc w:val="center"/>
              <w:rPr>
                <w:szCs w:val="24"/>
              </w:rPr>
            </w:pPr>
            <w:r>
              <w:rPr>
                <w:szCs w:val="24"/>
              </w:rPr>
              <w:t>专用化学产品制造（不含无机化学品制造）（C266）</w:t>
            </w:r>
          </w:p>
        </w:tc>
        <w:tc>
          <w:tcPr>
            <w:tcW w:w="2200" w:type="dxa"/>
            <w:vAlign w:val="bottom"/>
          </w:tcPr>
          <w:p w14:paraId="5E37575B">
            <w:pPr>
              <w:widowControl/>
              <w:spacing w:line="240" w:lineRule="auto"/>
              <w:ind w:firstLine="0" w:firstLineChars="0"/>
              <w:jc w:val="center"/>
              <w:textAlignment w:val="center"/>
              <w:rPr>
                <w:szCs w:val="24"/>
                <w:lang w:bidi="ar"/>
              </w:rPr>
            </w:pPr>
            <w:r>
              <w:rPr>
                <w:szCs w:val="24"/>
                <w:lang w:bidi="ar"/>
              </w:rPr>
              <w:t>958.4</w:t>
            </w:r>
          </w:p>
        </w:tc>
      </w:tr>
      <w:tr w14:paraId="2B6F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1678798">
            <w:pPr>
              <w:widowControl/>
              <w:spacing w:line="240" w:lineRule="atLeast"/>
              <w:ind w:firstLine="0" w:firstLineChars="0"/>
              <w:jc w:val="center"/>
              <w:rPr>
                <w:szCs w:val="24"/>
                <w:lang w:bidi="ar"/>
              </w:rPr>
            </w:pPr>
            <w:r>
              <w:rPr>
                <w:szCs w:val="24"/>
                <w:lang w:bidi="ar"/>
              </w:rPr>
              <w:t>9</w:t>
            </w:r>
          </w:p>
        </w:tc>
        <w:tc>
          <w:tcPr>
            <w:tcW w:w="4943" w:type="dxa"/>
            <w:vAlign w:val="center"/>
          </w:tcPr>
          <w:p w14:paraId="32E83D2D">
            <w:pPr>
              <w:widowControl/>
              <w:spacing w:line="240" w:lineRule="atLeast"/>
              <w:ind w:firstLine="0" w:firstLineChars="0"/>
              <w:jc w:val="center"/>
              <w:rPr>
                <w:szCs w:val="24"/>
              </w:rPr>
            </w:pPr>
            <w:r>
              <w:rPr>
                <w:szCs w:val="24"/>
              </w:rPr>
              <w:t>日用化学产品制造（C268）</w:t>
            </w:r>
          </w:p>
        </w:tc>
        <w:tc>
          <w:tcPr>
            <w:tcW w:w="2200" w:type="dxa"/>
            <w:vAlign w:val="bottom"/>
          </w:tcPr>
          <w:p w14:paraId="09F39D1A">
            <w:pPr>
              <w:widowControl/>
              <w:spacing w:line="240" w:lineRule="auto"/>
              <w:ind w:firstLine="0" w:firstLineChars="0"/>
              <w:jc w:val="center"/>
              <w:textAlignment w:val="center"/>
              <w:rPr>
                <w:szCs w:val="24"/>
                <w:lang w:bidi="ar"/>
              </w:rPr>
            </w:pPr>
            <w:r>
              <w:rPr>
                <w:szCs w:val="24"/>
                <w:lang w:bidi="ar"/>
              </w:rPr>
              <w:t>300.7</w:t>
            </w:r>
          </w:p>
        </w:tc>
      </w:tr>
      <w:tr w14:paraId="7D52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6" w:type="dxa"/>
            <w:gridSpan w:val="2"/>
            <w:vAlign w:val="center"/>
          </w:tcPr>
          <w:p w14:paraId="56647D25">
            <w:pPr>
              <w:widowControl/>
              <w:spacing w:line="240" w:lineRule="atLeast"/>
              <w:ind w:firstLine="0" w:firstLineChars="0"/>
              <w:rPr>
                <w:szCs w:val="24"/>
              </w:rPr>
            </w:pPr>
            <w:r>
              <w:rPr>
                <w:szCs w:val="24"/>
                <w:lang w:bidi="ar"/>
              </w:rPr>
              <w:t>总计</w:t>
            </w:r>
          </w:p>
        </w:tc>
        <w:tc>
          <w:tcPr>
            <w:tcW w:w="2200" w:type="dxa"/>
            <w:vAlign w:val="bottom"/>
          </w:tcPr>
          <w:p w14:paraId="1100C5FF">
            <w:pPr>
              <w:widowControl/>
              <w:spacing w:line="240" w:lineRule="atLeast"/>
              <w:ind w:firstLine="0" w:firstLineChars="0"/>
              <w:jc w:val="center"/>
              <w:rPr>
                <w:b/>
                <w:szCs w:val="24"/>
                <w:lang w:bidi="ar"/>
              </w:rPr>
            </w:pPr>
            <w:r>
              <w:rPr>
                <w:szCs w:val="24"/>
                <w:lang w:bidi="ar"/>
              </w:rPr>
              <w:t>9035.7</w:t>
            </w:r>
          </w:p>
        </w:tc>
      </w:tr>
    </w:tbl>
    <w:p w14:paraId="61E411B3">
      <w:pPr>
        <w:ind w:firstLine="480"/>
        <w:rPr>
          <w:lang w:bidi="ar"/>
        </w:rPr>
      </w:pPr>
    </w:p>
    <w:p w14:paraId="3EBCA9C0">
      <w:pPr>
        <w:widowControl/>
        <w:ind w:firstLine="480" w:firstLineChars="0"/>
        <w:jc w:val="left"/>
        <w:rPr>
          <w:color w:val="FF0000"/>
        </w:rPr>
      </w:pPr>
      <w:r>
        <w:drawing>
          <wp:inline distT="0" distB="0" distL="114300" distR="114300">
            <wp:extent cx="4738370" cy="2743200"/>
            <wp:effectExtent l="0" t="0" r="5080" b="0"/>
            <wp:docPr id="7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689BFC6">
      <w:pPr>
        <w:widowControl/>
        <w:spacing w:line="240" w:lineRule="atLeast"/>
        <w:ind w:firstLine="482"/>
        <w:jc w:val="center"/>
        <w:rPr>
          <w:b/>
          <w:bCs/>
          <w:color w:val="FF0000"/>
          <w:lang w:bidi="ar"/>
        </w:rPr>
      </w:pPr>
      <w:r>
        <w:rPr>
          <w:b/>
          <w:bCs/>
          <w:lang w:bidi="ar"/>
        </w:rPr>
        <w:t>图3.1-</w:t>
      </w:r>
      <w:r>
        <w:rPr>
          <w:rFonts w:hint="eastAsia"/>
          <w:b/>
          <w:bCs/>
          <w:lang w:bidi="ar"/>
        </w:rPr>
        <w:t xml:space="preserve">3  </w:t>
      </w:r>
      <w:r>
        <w:rPr>
          <w:b/>
          <w:bCs/>
          <w:lang w:bidi="ar"/>
        </w:rPr>
        <w:t>江西省有机化工企业的VOCs排放量分布</w:t>
      </w:r>
    </w:p>
    <w:p w14:paraId="29D56EA2">
      <w:pPr>
        <w:pStyle w:val="4"/>
        <w:spacing w:before="0" w:after="0"/>
        <w:rPr>
          <w:rFonts w:ascii="Times New Roman" w:hAnsi="Times New Roman"/>
        </w:rPr>
      </w:pPr>
      <w:bookmarkStart w:id="67" w:name="_Toc420"/>
      <w:bookmarkStart w:id="68" w:name="_Toc159926925"/>
      <w:bookmarkStart w:id="69" w:name="_Toc6"/>
      <w:r>
        <w:rPr>
          <w:rFonts w:ascii="Times New Roman" w:hAnsi="Times New Roman"/>
        </w:rPr>
        <w:t>3.2 有机化工行业VOCs污染防治概况</w:t>
      </w:r>
      <w:bookmarkEnd w:id="67"/>
      <w:bookmarkEnd w:id="68"/>
      <w:bookmarkEnd w:id="69"/>
    </w:p>
    <w:p w14:paraId="5A825807">
      <w:pPr>
        <w:pStyle w:val="5"/>
        <w:keepNext w:val="0"/>
        <w:keepLines w:val="0"/>
        <w:widowControl/>
        <w:spacing w:before="0" w:after="0"/>
        <w:jc w:val="left"/>
      </w:pPr>
      <w:bookmarkStart w:id="70" w:name="_Toc159926926"/>
      <w:bookmarkStart w:id="71" w:name="_Toc16189"/>
      <w:bookmarkStart w:id="72" w:name="_Toc10155"/>
      <w:r>
        <w:t>3.2.1 污染防治管理概况</w:t>
      </w:r>
      <w:bookmarkEnd w:id="70"/>
      <w:bookmarkEnd w:id="71"/>
      <w:bookmarkEnd w:id="72"/>
    </w:p>
    <w:p w14:paraId="71EAA883">
      <w:pPr>
        <w:widowControl/>
        <w:ind w:firstLine="480" w:firstLineChars="0"/>
        <w:rPr>
          <w:color w:val="000000"/>
          <w:lang w:bidi="ar"/>
        </w:rPr>
      </w:pPr>
      <w:r>
        <w:rPr>
          <w:color w:val="000000"/>
          <w:lang w:bidi="ar"/>
        </w:rPr>
        <w:t>2019年6月生态环境部印发了《重点行业挥发性有机物综合治理方案》（环大气〔2019〕53号），方案要求建立健全VOCs污染防治管理体系，重点区域、重点行业VOCs治理取得明显成效，完成“十三五”规划确定的VOCs排放量下降10%的目标任务，协同控制温室气体排放，推动环境空气质量持续改善；2020年，生态环境部印发了《2020年挥发性有机物治理攻坚方案》，方案指出要高度重视，把挥发性有机物（VOCs）治理攻坚作为打赢蓝天保卫战收官的重要任务，统筹疫情防控、经济社会平稳健康发展，扎实做好“六稳”工作,落实“六保”任务，坚持精准治污、科学治污、依法治污，切实做到问题精准、时间精准、区位精准、对象精准、措施精准；2020年，生态环境部先后发布了《挥发性有机物（VOCs）污染防治技术政策</w:t>
      </w:r>
      <w:bookmarkStart w:id="195" w:name="_GoBack"/>
      <w:r>
        <w:rPr>
          <w:color w:val="000000"/>
          <w:lang w:bidi="ar"/>
        </w:rPr>
        <w:t>》、《</w:t>
      </w:r>
      <w:bookmarkEnd w:id="195"/>
      <w:r>
        <w:rPr>
          <w:color w:val="000000"/>
          <w:lang w:bidi="ar"/>
        </w:rPr>
        <w:t>重点行业企业挥发性有机物现场检查指南（试行）》、《挥发性有机物治理实用手册》、《石化行业挥发性有机物治理实用手册》等一系列文件和手册，对重点行业挥发性有机物的治理提供指导。</w:t>
      </w:r>
    </w:p>
    <w:p w14:paraId="3FA70200">
      <w:pPr>
        <w:widowControl/>
        <w:ind w:firstLine="480"/>
        <w:rPr>
          <w:color w:val="FF0000"/>
          <w:lang w:bidi="ar"/>
        </w:rPr>
      </w:pPr>
      <w:r>
        <w:rPr>
          <w:color w:val="000000"/>
          <w:lang w:bidi="ar"/>
        </w:rPr>
        <w:t>2019年10月，江西省生态环境厅印发了《江西省重点行业挥发性有机物综合治理方案的通知（赣环大气〔2019〕》指出到2020年底前，推动我省有机化工、表面涂装行业重点企业建设、改造、升级一批挥发性有机物（VOCs）废气收集和治理设施，大幅提高VOCs无组织排放收集率和废气处理效率，对重点污染源实施在线监控，对重点工业园区开展集中整治。初步建立符合我省实际的VOCs污染防治体系，协同控制温室气体排放，推动环境空气质量持续改善；2020年6月，</w:t>
      </w:r>
      <w:r>
        <w:t>江西省生态环境厅印发《2020年夏秋季挥发性有机物(VOCs)治理攻坚帮扶工作方案》（赣环大气〔2020〕6号）</w:t>
      </w:r>
      <w:r>
        <w:rPr>
          <w:color w:val="000000"/>
          <w:lang w:bidi="ar"/>
        </w:rPr>
        <w:t>指出以有效削减各类VOCS排放为目标，聚焦重点行业、重点园区、重点企业集群以及非工业重点排放领域，集中力量采取强化帮扶指导、加强监测监控、提升监督执法效能等措施，通过攻坚帮扶行动，扎实落实国家和省VOCs综合治理方案,推动纳入治理范围的重点企业VOCs废气无组织排放收集率、治理设施同步运行率和去除率明显提高，VOCs超标排放现象明显减少，工业园区和企业集群VOCs治理和管理水平明显提升；2022年，江西省生态环境厅相继发布了</w:t>
      </w:r>
      <w:r>
        <w:t>《加强VOCs排放管控及时做好2022年臭氧污染应对工作》（赣环大气〔2022〕6号）、《江西省重点行业挥发性有机物控制技术手册》、《江西省重点行业挥发性有机物现场核查手册》等文件，均对有机化工行业</w:t>
      </w:r>
      <w:r>
        <w:rPr>
          <w:lang w:bidi="ar"/>
        </w:rPr>
        <w:t>进行挥发性有机物防治技术作出参考作用。</w:t>
      </w:r>
    </w:p>
    <w:p w14:paraId="2E2870AA">
      <w:pPr>
        <w:pStyle w:val="5"/>
        <w:spacing w:before="0" w:after="0"/>
      </w:pPr>
      <w:bookmarkStart w:id="73" w:name="_Toc28152"/>
      <w:bookmarkStart w:id="74" w:name="_Toc159926927"/>
      <w:bookmarkStart w:id="75" w:name="_Toc4331"/>
      <w:r>
        <w:t>3.2.2 污染防治措施概况</w:t>
      </w:r>
      <w:bookmarkEnd w:id="73"/>
      <w:bookmarkEnd w:id="74"/>
      <w:bookmarkEnd w:id="75"/>
    </w:p>
    <w:p w14:paraId="6E725EE3">
      <w:pPr>
        <w:widowControl/>
        <w:ind w:firstLine="480"/>
        <w:jc w:val="left"/>
        <w:rPr>
          <w:highlight w:val="yellow"/>
          <w:lang w:bidi="ar"/>
        </w:rPr>
      </w:pPr>
      <w:r>
        <w:rPr>
          <w:lang w:bidi="ar"/>
        </w:rPr>
        <w:t>根据2021年环统数据统计，我省有机化工行业使用的VOCs末端治理技术有焚烧技术(包括ＲTO、RCO等)、光催化技术、水/酸/碱吸收技术、一次性活性炭吸附技术或者组合技术等。我省584家有机化工企业VOCs治理情况统计见图3.2-1。</w:t>
      </w:r>
    </w:p>
    <w:p w14:paraId="5CA8D636">
      <w:pPr>
        <w:widowControl/>
        <w:ind w:firstLine="0" w:firstLineChars="0"/>
        <w:jc w:val="center"/>
        <w:rPr>
          <w:highlight w:val="yellow"/>
          <w:lang w:bidi="ar"/>
        </w:rPr>
      </w:pPr>
      <w:r>
        <w:drawing>
          <wp:inline distT="0" distB="0" distL="0" distR="0">
            <wp:extent cx="3616325" cy="2458085"/>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16548" cy="2458179"/>
                    </a:xfrm>
                    <a:prstGeom prst="rect">
                      <a:avLst/>
                    </a:prstGeom>
                    <a:noFill/>
                    <a:ln>
                      <a:noFill/>
                    </a:ln>
                  </pic:spPr>
                </pic:pic>
              </a:graphicData>
            </a:graphic>
          </wp:inline>
        </w:drawing>
      </w:r>
    </w:p>
    <w:p w14:paraId="3B49016F">
      <w:pPr>
        <w:widowControl/>
        <w:spacing w:line="240" w:lineRule="atLeast"/>
        <w:ind w:firstLine="482"/>
        <w:jc w:val="center"/>
        <w:rPr>
          <w:b/>
          <w:bCs/>
          <w:lang w:bidi="ar"/>
        </w:rPr>
      </w:pPr>
      <w:r>
        <w:rPr>
          <w:b/>
          <w:bCs/>
          <w:lang w:bidi="ar"/>
        </w:rPr>
        <w:t>图3.2-1</w:t>
      </w:r>
      <w:r>
        <w:rPr>
          <w:rFonts w:hint="eastAsia"/>
          <w:b/>
          <w:bCs/>
          <w:lang w:bidi="ar"/>
        </w:rPr>
        <w:t xml:space="preserve">  </w:t>
      </w:r>
      <w:r>
        <w:rPr>
          <w:b/>
          <w:bCs/>
          <w:lang w:bidi="ar"/>
        </w:rPr>
        <w:t>江西省有机化工行业企业VOCs处理技术应用情况</w:t>
      </w:r>
    </w:p>
    <w:p w14:paraId="1E78D068">
      <w:pPr>
        <w:widowControl/>
        <w:ind w:firstLine="480"/>
        <w:jc w:val="left"/>
        <w:rPr>
          <w:lang w:bidi="ar"/>
        </w:rPr>
      </w:pPr>
      <w:r>
        <w:rPr>
          <w:lang w:bidi="ar"/>
        </w:rPr>
        <w:t>其中安装VOCs治理措施的企业552家和未安装VOCs治理措施企业32家，治理措施覆盖率94.5%。552家安装VOCs治理措施，其中活性炭使用率最高，占比42.1%，燃烧法占比约为12.2%。</w:t>
      </w:r>
    </w:p>
    <w:p w14:paraId="1319F5FF">
      <w:pPr>
        <w:widowControl/>
        <w:ind w:firstLine="480"/>
        <w:jc w:val="left"/>
        <w:rPr>
          <w:lang w:bidi="ar"/>
        </w:rPr>
      </w:pPr>
      <w:r>
        <w:rPr>
          <w:lang w:bidi="ar"/>
        </w:rPr>
        <w:t>现场调研有机化工行业省市重点企业22家，并采集有组织排口和无组织排放样品进行分析测试，发现22家重点企业中，所有的有组织排口样品均达到《江西省挥发性有机物排放标准 第2部分：有机化工行业》（DB 36/1101.2）的限值要求，但有3家无组织排放样品中VOCs浓度超过了DB 36/1101.2中的限值要求，表明企业废气收集效率有待进一步提高。</w:t>
      </w:r>
    </w:p>
    <w:p w14:paraId="01DBDC85">
      <w:pPr>
        <w:pStyle w:val="2"/>
        <w:widowControl/>
        <w:spacing w:line="240" w:lineRule="auto"/>
        <w:ind w:firstLine="360" w:firstLineChars="0"/>
        <w:jc w:val="left"/>
        <w:rPr>
          <w:lang w:bidi="ar"/>
        </w:rPr>
      </w:pPr>
      <w:r>
        <w:rPr>
          <w:lang w:bidi="ar"/>
        </w:rPr>
        <w:br w:type="page"/>
      </w:r>
    </w:p>
    <w:p w14:paraId="6C5076B4">
      <w:pPr>
        <w:pStyle w:val="3"/>
        <w:rPr>
          <w:rFonts w:eastAsia="仿宋"/>
        </w:rPr>
      </w:pPr>
      <w:bookmarkStart w:id="76" w:name="_Toc525723216"/>
      <w:bookmarkStart w:id="77" w:name="_Toc7760"/>
      <w:bookmarkStart w:id="78" w:name="_Toc159926928"/>
      <w:bookmarkStart w:id="79" w:name="_Toc12518"/>
      <w:bookmarkStart w:id="80" w:name="_Toc30446"/>
      <w:r>
        <w:rPr>
          <w:rFonts w:eastAsia="仿宋"/>
        </w:rPr>
        <w:t>4</w:t>
      </w:r>
      <w:bookmarkEnd w:id="76"/>
      <w:r>
        <w:rPr>
          <w:rFonts w:eastAsia="仿宋"/>
        </w:rPr>
        <w:t xml:space="preserve"> 相关标准概况</w:t>
      </w:r>
      <w:bookmarkEnd w:id="77"/>
      <w:bookmarkEnd w:id="78"/>
      <w:bookmarkEnd w:id="79"/>
      <w:bookmarkEnd w:id="80"/>
    </w:p>
    <w:p w14:paraId="2A402B4C">
      <w:pPr>
        <w:pStyle w:val="4"/>
        <w:spacing w:before="0" w:after="0"/>
        <w:rPr>
          <w:rFonts w:ascii="Times New Roman" w:hAnsi="Times New Roman"/>
        </w:rPr>
      </w:pPr>
      <w:bookmarkStart w:id="81" w:name="_Toc31868"/>
      <w:bookmarkStart w:id="82" w:name="_Toc28894"/>
      <w:bookmarkStart w:id="83" w:name="_Toc159926929"/>
      <w:bookmarkStart w:id="84" w:name="_Toc525723217"/>
      <w:bookmarkStart w:id="85" w:name="_Toc523001167"/>
      <w:bookmarkStart w:id="86" w:name="_Toc12508"/>
      <w:r>
        <w:rPr>
          <w:rFonts w:ascii="Times New Roman" w:hAnsi="Times New Roman"/>
        </w:rPr>
        <w:t>4.1 国家层面</w:t>
      </w:r>
      <w:bookmarkEnd w:id="81"/>
      <w:bookmarkEnd w:id="82"/>
      <w:bookmarkEnd w:id="83"/>
    </w:p>
    <w:p w14:paraId="20F0E78C">
      <w:pPr>
        <w:ind w:firstLine="480"/>
        <w:rPr>
          <w:szCs w:val="24"/>
        </w:rPr>
      </w:pPr>
      <w:r>
        <w:rPr>
          <w:color w:val="000000"/>
          <w:szCs w:val="24"/>
          <w:lang w:bidi="ar"/>
        </w:rPr>
        <w:t>近年来，国家陆续出台了化工相关的政策文件，对挥发性有机物污染防治作出相应的指导</w:t>
      </w:r>
      <w:r>
        <w:rPr>
          <w:szCs w:val="24"/>
          <w:lang w:bidi="ar"/>
        </w:rPr>
        <w:t>意见。</w:t>
      </w:r>
      <w:r>
        <w:rPr>
          <w:szCs w:val="24"/>
        </w:rPr>
        <w:t>《大气污染物综合排放标准》对挥发性有机物相关指标的排放限值做出了规定。《挥发性有机物（VOCs）污染防治技术政策》提出了生产VOCs物料和含VOCs产品的生产、储存运输销售、使用、消费各环节的污染防治策略和方法。《挥发性有机物无组织排放控制标准》在VOCs物料储存无组织排放控制、VOCs物料转移和输送无组织排放、工艺过程VOCs无组织排放、含VOCs产品的使用过程、设备与管线组件VOCs泄漏控制、VOCs无组织排放废气收集处理系统等作出了相关规定。《2016年国家先进污染防治技术目录（VOCs防治领域）》，防治技术目录包括</w:t>
      </w:r>
      <w:r>
        <w:fldChar w:fldCharType="begin"/>
      </w:r>
      <w:r>
        <w:instrText xml:space="preserve"> HYPERLINK "https://huanbao.bjx.com.cn/topics/vocsfeiqi/" \t "https://huanbao.bjx.com.cn/news/20161217/_blank" </w:instrText>
      </w:r>
      <w:r>
        <w:fldChar w:fldCharType="separate"/>
      </w:r>
      <w:r>
        <w:rPr>
          <w:szCs w:val="24"/>
        </w:rPr>
        <w:t>VOCs废气</w:t>
      </w:r>
      <w:r>
        <w:rPr>
          <w:szCs w:val="24"/>
        </w:rPr>
        <w:fldChar w:fldCharType="end"/>
      </w:r>
      <w:r>
        <w:rPr>
          <w:szCs w:val="24"/>
        </w:rPr>
        <w:t>催化氧化+选择性催化还原净化技术、低浓度</w:t>
      </w:r>
      <w:r>
        <w:fldChar w:fldCharType="begin"/>
      </w:r>
      <w:r>
        <w:instrText xml:space="preserve"> HYPERLINK "https://huanbao.bjx.com.cn/topics/youjifeiqi/" \t "https://huanbao.bjx.com.cn/news/20161217/_blank" </w:instrText>
      </w:r>
      <w:r>
        <w:fldChar w:fldCharType="separate"/>
      </w:r>
      <w:r>
        <w:rPr>
          <w:szCs w:val="24"/>
        </w:rPr>
        <w:t>有机废气</w:t>
      </w:r>
      <w:r>
        <w:rPr>
          <w:szCs w:val="24"/>
        </w:rPr>
        <w:fldChar w:fldCharType="end"/>
      </w:r>
      <w:r>
        <w:rPr>
          <w:szCs w:val="24"/>
        </w:rPr>
        <w:t>生物净化技术等18项VOCs防治技术；《排污许可证申请与核发技术规范 制药工业—化学药品制剂制造》、《</w:t>
      </w:r>
      <w:r>
        <w:fldChar w:fldCharType="begin"/>
      </w:r>
      <w:r>
        <w:instrText xml:space="preserve"> HYPERLINK "https://www.mee.gov.cn/ywgz/fgbz/bz/bzwb/jcffbz/201912/W020200103325198347687.pdf" </w:instrText>
      </w:r>
      <w:r>
        <w:fldChar w:fldCharType="separate"/>
      </w:r>
      <w:r>
        <w:rPr>
          <w:szCs w:val="24"/>
        </w:rPr>
        <w:t>排污许可证申请与核发技术规范 制药工业—生物药品制品制造》</w:t>
      </w:r>
      <w:r>
        <w:rPr>
          <w:szCs w:val="24"/>
        </w:rPr>
        <w:fldChar w:fldCharType="end"/>
      </w:r>
      <w:r>
        <w:rPr>
          <w:szCs w:val="24"/>
        </w:rPr>
        <w:t>、《排污许可证申请与核发技术规范 农药制造工业》、《</w:t>
      </w:r>
      <w:r>
        <w:fldChar w:fldCharType="begin"/>
      </w:r>
      <w:r>
        <w:instrText xml:space="preserve"> HYPERLINK "https://www.mee.gov.cn/ywgz/fgbz/bz/bzwb/pwxk/201709/W020170918582551236954.pdf" </w:instrText>
      </w:r>
      <w:r>
        <w:fldChar w:fldCharType="separate"/>
      </w:r>
      <w:r>
        <w:rPr>
          <w:szCs w:val="24"/>
        </w:rPr>
        <w:t>排污许可证申请与核发技术规范 炼焦化学工业</w:t>
      </w:r>
      <w:r>
        <w:rPr>
          <w:szCs w:val="24"/>
        </w:rPr>
        <w:fldChar w:fldCharType="end"/>
      </w:r>
      <w:r>
        <w:rPr>
          <w:szCs w:val="24"/>
        </w:rPr>
        <w:t>》、《排污许可证申请与核发技术规范 涂料、油墨、颜料及类似产品制造业》，这五项技术规范从源头及工艺过程控制、污染物末端治理可行技术提出了VOCs污染防治策略；《挥发性有机物治理实用手册》针对重点工业化工行业中的现代煤化工行业、制药工业、农药工业、焦化行业、涂料、油墨及胶粘剂制造业从源头削减、过程控制、末端治理、排放限值、监测监控和台账记录6个方面提出如何开展VOCs排放控制；《制药工业污染防治可行技术指南（征求意见稿）》、《</w:t>
      </w:r>
      <w:r>
        <w:fldChar w:fldCharType="begin"/>
      </w:r>
      <w:r>
        <w:instrText xml:space="preserve"> HYPERLINK "https://www.mee.gov.cn/ywgz/fgbz/bz/bzwb/kxxjszn/202303/W020230324584156584012.pdf" </w:instrText>
      </w:r>
      <w:r>
        <w:fldChar w:fldCharType="separate"/>
      </w:r>
      <w:r>
        <w:rPr>
          <w:szCs w:val="24"/>
        </w:rPr>
        <w:t>农药制造工业污染防治可行技术指南</w:t>
      </w:r>
      <w:r>
        <w:rPr>
          <w:szCs w:val="24"/>
        </w:rPr>
        <w:fldChar w:fldCharType="end"/>
      </w:r>
      <w:r>
        <w:rPr>
          <w:szCs w:val="24"/>
        </w:rPr>
        <w:t>》、《炼焦化学工业污染防治可行技术指南》、《</w:t>
      </w:r>
      <w:r>
        <w:fldChar w:fldCharType="begin"/>
      </w:r>
      <w:r>
        <w:instrText xml:space="preserve"> HYPERLINK "https://www.mee.gov.cn/ywgz/fgbz/bz/bzwb/kxxjszn/202106/W020210809525744720628.pdf" </w:instrText>
      </w:r>
      <w:r>
        <w:fldChar w:fldCharType="separate"/>
      </w:r>
      <w:r>
        <w:rPr>
          <w:szCs w:val="24"/>
        </w:rPr>
        <w:t>涂料油墨工业污染防治可行技术指南</w:t>
      </w:r>
      <w:r>
        <w:rPr>
          <w:szCs w:val="24"/>
        </w:rPr>
        <w:fldChar w:fldCharType="end"/>
      </w:r>
      <w:r>
        <w:rPr>
          <w:szCs w:val="24"/>
        </w:rPr>
        <w:t>》这四个技术指南对制药工业、农药制造、炼焦化学、涂料油墨从源头原辅材料替代、设备工艺革新技术提出了VOCs管控思路。国家层面相关标准见4.1-1。</w:t>
      </w:r>
    </w:p>
    <w:p w14:paraId="2CBC1D8E">
      <w:pPr>
        <w:keepNext/>
        <w:keepLines/>
        <w:spacing w:line="240" w:lineRule="atLeast"/>
        <w:ind w:firstLine="482"/>
        <w:jc w:val="center"/>
        <w:rPr>
          <w:b/>
          <w:bCs/>
          <w:lang w:bidi="ar"/>
        </w:rPr>
      </w:pPr>
      <w:r>
        <w:rPr>
          <w:b/>
          <w:bCs/>
          <w:lang w:bidi="ar"/>
        </w:rPr>
        <w:t xml:space="preserve">4.1-1 </w:t>
      </w:r>
      <w:r>
        <w:rPr>
          <w:rFonts w:hint="eastAsia"/>
          <w:b/>
          <w:bCs/>
          <w:lang w:bidi="ar"/>
        </w:rPr>
        <w:t xml:space="preserve"> </w:t>
      </w:r>
      <w:r>
        <w:rPr>
          <w:b/>
          <w:bCs/>
          <w:lang w:bidi="ar"/>
        </w:rPr>
        <w:t>国家层面有机化工行业涉VOCs相关标准及指南</w:t>
      </w:r>
    </w:p>
    <w:tbl>
      <w:tblPr>
        <w:tblStyle w:val="20"/>
        <w:tblpPr w:leftFromText="180" w:rightFromText="180" w:vertAnchor="text" w:tblpXSpec="center" w:tblpY="1"/>
        <w:tblOverlap w:val="never"/>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5647"/>
        <w:gridCol w:w="2971"/>
      </w:tblGrid>
      <w:tr w14:paraId="1B29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00B6E0AD">
            <w:pPr>
              <w:widowControl/>
              <w:spacing w:line="240" w:lineRule="atLeast"/>
              <w:ind w:firstLine="0" w:firstLineChars="0"/>
              <w:jc w:val="center"/>
              <w:rPr>
                <w:b/>
                <w:bCs/>
                <w:color w:val="000000"/>
                <w:kern w:val="0"/>
                <w:szCs w:val="24"/>
                <w:lang w:bidi="ar"/>
              </w:rPr>
            </w:pPr>
            <w:r>
              <w:rPr>
                <w:b/>
                <w:bCs/>
                <w:color w:val="000000"/>
                <w:kern w:val="0"/>
                <w:szCs w:val="24"/>
                <w:lang w:bidi="ar"/>
              </w:rPr>
              <w:t>序号</w:t>
            </w:r>
          </w:p>
        </w:tc>
        <w:tc>
          <w:tcPr>
            <w:tcW w:w="5647" w:type="dxa"/>
            <w:vAlign w:val="center"/>
          </w:tcPr>
          <w:p w14:paraId="4458109C">
            <w:pPr>
              <w:widowControl/>
              <w:spacing w:line="240" w:lineRule="atLeast"/>
              <w:ind w:firstLine="0" w:firstLineChars="0"/>
              <w:jc w:val="center"/>
              <w:rPr>
                <w:b/>
                <w:bCs/>
                <w:color w:val="000000"/>
                <w:kern w:val="0"/>
                <w:szCs w:val="24"/>
                <w:lang w:bidi="ar"/>
              </w:rPr>
            </w:pPr>
            <w:r>
              <w:rPr>
                <w:b/>
                <w:bCs/>
                <w:color w:val="000000"/>
                <w:kern w:val="0"/>
                <w:szCs w:val="24"/>
                <w:lang w:bidi="ar"/>
              </w:rPr>
              <w:t>标准名称</w:t>
            </w:r>
          </w:p>
        </w:tc>
        <w:tc>
          <w:tcPr>
            <w:tcW w:w="2971" w:type="dxa"/>
            <w:vAlign w:val="center"/>
          </w:tcPr>
          <w:p w14:paraId="3ED937E0">
            <w:pPr>
              <w:widowControl/>
              <w:spacing w:line="240" w:lineRule="atLeast"/>
              <w:ind w:firstLine="0" w:firstLineChars="0"/>
              <w:jc w:val="center"/>
              <w:rPr>
                <w:b/>
                <w:bCs/>
                <w:color w:val="000000"/>
                <w:kern w:val="0"/>
                <w:szCs w:val="24"/>
                <w:lang w:bidi="ar"/>
              </w:rPr>
            </w:pPr>
            <w:r>
              <w:rPr>
                <w:b/>
                <w:bCs/>
                <w:color w:val="000000"/>
                <w:kern w:val="0"/>
                <w:szCs w:val="24"/>
                <w:lang w:bidi="ar"/>
              </w:rPr>
              <w:t>标准编号</w:t>
            </w:r>
          </w:p>
        </w:tc>
      </w:tr>
      <w:tr w14:paraId="05F7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6224266A">
            <w:pPr>
              <w:widowControl/>
              <w:spacing w:line="240" w:lineRule="atLeast"/>
              <w:ind w:firstLine="0" w:firstLineChars="0"/>
              <w:jc w:val="center"/>
              <w:rPr>
                <w:color w:val="000000"/>
                <w:kern w:val="0"/>
                <w:szCs w:val="24"/>
                <w:lang w:bidi="ar"/>
              </w:rPr>
            </w:pPr>
            <w:r>
              <w:rPr>
                <w:color w:val="000000"/>
                <w:kern w:val="0"/>
                <w:szCs w:val="24"/>
                <w:lang w:bidi="ar"/>
              </w:rPr>
              <w:t>1</w:t>
            </w:r>
          </w:p>
        </w:tc>
        <w:tc>
          <w:tcPr>
            <w:tcW w:w="5647" w:type="dxa"/>
            <w:vAlign w:val="center"/>
          </w:tcPr>
          <w:p w14:paraId="0129FED2">
            <w:pPr>
              <w:widowControl/>
              <w:spacing w:line="240" w:lineRule="atLeast"/>
              <w:ind w:firstLine="0" w:firstLineChars="0"/>
              <w:jc w:val="center"/>
              <w:rPr>
                <w:color w:val="000000"/>
                <w:kern w:val="0"/>
                <w:szCs w:val="24"/>
                <w:lang w:bidi="ar"/>
              </w:rPr>
            </w:pPr>
            <w:r>
              <w:rPr>
                <w:color w:val="000000"/>
                <w:kern w:val="0"/>
                <w:szCs w:val="24"/>
                <w:lang w:bidi="ar"/>
              </w:rPr>
              <w:t>《大气污染物综合排放标准》</w:t>
            </w:r>
          </w:p>
        </w:tc>
        <w:tc>
          <w:tcPr>
            <w:tcW w:w="2971" w:type="dxa"/>
            <w:vAlign w:val="center"/>
          </w:tcPr>
          <w:p w14:paraId="2E50AF8A">
            <w:pPr>
              <w:widowControl/>
              <w:spacing w:line="240" w:lineRule="atLeast"/>
              <w:ind w:firstLine="0" w:firstLineChars="0"/>
              <w:jc w:val="center"/>
              <w:rPr>
                <w:color w:val="000000"/>
                <w:kern w:val="0"/>
                <w:szCs w:val="24"/>
                <w:lang w:bidi="ar"/>
              </w:rPr>
            </w:pPr>
            <w:r>
              <w:rPr>
                <w:color w:val="000000"/>
                <w:kern w:val="0"/>
                <w:szCs w:val="24"/>
                <w:lang w:bidi="ar"/>
              </w:rPr>
              <w:t>GB 16297-1996</w:t>
            </w:r>
          </w:p>
        </w:tc>
      </w:tr>
      <w:tr w14:paraId="6F2D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68DD91B0">
            <w:pPr>
              <w:widowControl/>
              <w:spacing w:line="240" w:lineRule="atLeast"/>
              <w:ind w:firstLine="0" w:firstLineChars="0"/>
              <w:jc w:val="center"/>
              <w:rPr>
                <w:kern w:val="0"/>
                <w:szCs w:val="24"/>
                <w:lang w:bidi="ar"/>
              </w:rPr>
            </w:pPr>
            <w:r>
              <w:rPr>
                <w:kern w:val="0"/>
                <w:szCs w:val="24"/>
                <w:lang w:bidi="ar"/>
              </w:rPr>
              <w:t>2</w:t>
            </w:r>
          </w:p>
        </w:tc>
        <w:tc>
          <w:tcPr>
            <w:tcW w:w="5647" w:type="dxa"/>
            <w:vAlign w:val="center"/>
          </w:tcPr>
          <w:p w14:paraId="50B10EF2">
            <w:pPr>
              <w:widowControl/>
              <w:spacing w:line="240" w:lineRule="atLeast"/>
              <w:ind w:firstLine="0" w:firstLineChars="0"/>
              <w:jc w:val="center"/>
              <w:rPr>
                <w:color w:val="000000"/>
                <w:kern w:val="0"/>
                <w:szCs w:val="24"/>
                <w:lang w:bidi="ar"/>
              </w:rPr>
            </w:pPr>
            <w:r>
              <w:rPr>
                <w:color w:val="000000"/>
                <w:kern w:val="0"/>
                <w:szCs w:val="24"/>
                <w:lang w:bidi="ar"/>
              </w:rPr>
              <w:t>《挥发性有机物无组织排放控制标准》</w:t>
            </w:r>
          </w:p>
        </w:tc>
        <w:tc>
          <w:tcPr>
            <w:tcW w:w="2971" w:type="dxa"/>
            <w:vAlign w:val="center"/>
          </w:tcPr>
          <w:p w14:paraId="55EA4604">
            <w:pPr>
              <w:widowControl/>
              <w:spacing w:line="240" w:lineRule="atLeast"/>
              <w:ind w:firstLine="0" w:firstLineChars="0"/>
              <w:jc w:val="center"/>
              <w:rPr>
                <w:color w:val="000000"/>
                <w:kern w:val="0"/>
                <w:szCs w:val="24"/>
                <w:lang w:bidi="ar"/>
              </w:rPr>
            </w:pPr>
            <w:r>
              <w:rPr>
                <w:color w:val="000000"/>
                <w:kern w:val="0"/>
                <w:szCs w:val="24"/>
                <w:lang w:bidi="ar"/>
              </w:rPr>
              <w:t>GB 37822—2019</w:t>
            </w:r>
          </w:p>
        </w:tc>
      </w:tr>
      <w:tr w14:paraId="76908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1E4D8690">
            <w:pPr>
              <w:widowControl/>
              <w:spacing w:line="240" w:lineRule="atLeast"/>
              <w:ind w:firstLine="0" w:firstLineChars="0"/>
              <w:jc w:val="center"/>
              <w:rPr>
                <w:color w:val="000000"/>
                <w:kern w:val="0"/>
                <w:szCs w:val="24"/>
                <w:lang w:bidi="ar"/>
              </w:rPr>
            </w:pPr>
            <w:r>
              <w:rPr>
                <w:color w:val="000000"/>
                <w:kern w:val="0"/>
                <w:szCs w:val="24"/>
                <w:lang w:bidi="ar"/>
              </w:rPr>
              <w:t>3</w:t>
            </w:r>
          </w:p>
        </w:tc>
        <w:tc>
          <w:tcPr>
            <w:tcW w:w="5647" w:type="dxa"/>
            <w:vAlign w:val="center"/>
          </w:tcPr>
          <w:p w14:paraId="70578006">
            <w:pPr>
              <w:widowControl/>
              <w:spacing w:line="240" w:lineRule="atLeast"/>
              <w:ind w:firstLine="0" w:firstLineChars="0"/>
              <w:jc w:val="center"/>
              <w:rPr>
                <w:color w:val="000000"/>
                <w:kern w:val="0"/>
                <w:szCs w:val="24"/>
                <w:lang w:bidi="ar"/>
              </w:rPr>
            </w:pPr>
            <w:r>
              <w:rPr>
                <w:color w:val="000000"/>
                <w:kern w:val="0"/>
                <w:szCs w:val="24"/>
                <w:lang w:bidi="ar"/>
              </w:rPr>
              <w:t>《挥发性有机物（VOCs）污染防治技术政策》</w:t>
            </w:r>
          </w:p>
        </w:tc>
        <w:tc>
          <w:tcPr>
            <w:tcW w:w="2971" w:type="dxa"/>
            <w:vAlign w:val="center"/>
          </w:tcPr>
          <w:p w14:paraId="6E50884D">
            <w:pPr>
              <w:widowControl/>
              <w:spacing w:line="240" w:lineRule="atLeast"/>
              <w:ind w:firstLine="0" w:firstLineChars="0"/>
              <w:jc w:val="center"/>
              <w:rPr>
                <w:color w:val="000000"/>
                <w:kern w:val="0"/>
                <w:szCs w:val="24"/>
                <w:lang w:bidi="ar"/>
              </w:rPr>
            </w:pPr>
            <w:r>
              <w:rPr>
                <w:color w:val="000000"/>
                <w:kern w:val="0"/>
                <w:szCs w:val="24"/>
                <w:lang w:bidi="ar"/>
              </w:rPr>
              <w:t>国家环保部公告2013年第31号</w:t>
            </w:r>
          </w:p>
        </w:tc>
      </w:tr>
      <w:tr w14:paraId="2B76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74A58565">
            <w:pPr>
              <w:widowControl/>
              <w:spacing w:line="240" w:lineRule="atLeast"/>
              <w:ind w:firstLine="0" w:firstLineChars="0"/>
              <w:jc w:val="center"/>
              <w:rPr>
                <w:color w:val="000000"/>
                <w:kern w:val="0"/>
                <w:szCs w:val="24"/>
                <w:lang w:bidi="ar"/>
              </w:rPr>
            </w:pPr>
            <w:r>
              <w:rPr>
                <w:color w:val="000000"/>
                <w:kern w:val="0"/>
                <w:szCs w:val="24"/>
                <w:lang w:bidi="ar"/>
              </w:rPr>
              <w:t>4</w:t>
            </w:r>
          </w:p>
        </w:tc>
        <w:tc>
          <w:tcPr>
            <w:tcW w:w="5647" w:type="dxa"/>
            <w:vAlign w:val="center"/>
          </w:tcPr>
          <w:p w14:paraId="4FC0F6B2">
            <w:pPr>
              <w:widowControl/>
              <w:spacing w:line="240" w:lineRule="atLeast"/>
              <w:ind w:firstLine="0" w:firstLineChars="0"/>
              <w:jc w:val="center"/>
              <w:rPr>
                <w:color w:val="000000"/>
                <w:kern w:val="0"/>
                <w:szCs w:val="24"/>
                <w:lang w:bidi="ar"/>
              </w:rPr>
            </w:pPr>
            <w:r>
              <w:rPr>
                <w:color w:val="000000"/>
                <w:kern w:val="0"/>
                <w:szCs w:val="24"/>
                <w:lang w:bidi="ar"/>
              </w:rPr>
              <w:t>《国家先进污染防治技术目录（VOCs防治领域）》</w:t>
            </w:r>
          </w:p>
        </w:tc>
        <w:tc>
          <w:tcPr>
            <w:tcW w:w="2971" w:type="dxa"/>
            <w:vAlign w:val="center"/>
          </w:tcPr>
          <w:p w14:paraId="4A386F8D">
            <w:pPr>
              <w:widowControl/>
              <w:spacing w:line="240" w:lineRule="atLeast"/>
              <w:ind w:firstLine="0" w:firstLineChars="0"/>
              <w:jc w:val="center"/>
              <w:rPr>
                <w:color w:val="000000"/>
                <w:kern w:val="0"/>
                <w:szCs w:val="24"/>
                <w:lang w:bidi="ar"/>
              </w:rPr>
            </w:pPr>
            <w:r>
              <w:t>环境保护部公告2016年第75号</w:t>
            </w:r>
          </w:p>
        </w:tc>
      </w:tr>
      <w:tr w14:paraId="32FA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3F9F4318">
            <w:pPr>
              <w:widowControl/>
              <w:spacing w:line="240" w:lineRule="atLeast"/>
              <w:ind w:firstLine="0" w:firstLineChars="0"/>
              <w:jc w:val="center"/>
            </w:pPr>
            <w:r>
              <w:t>5</w:t>
            </w:r>
          </w:p>
        </w:tc>
        <w:tc>
          <w:tcPr>
            <w:tcW w:w="5647" w:type="dxa"/>
            <w:vAlign w:val="center"/>
          </w:tcPr>
          <w:p w14:paraId="09409413">
            <w:pPr>
              <w:widowControl/>
              <w:spacing w:line="240" w:lineRule="atLeast"/>
              <w:ind w:firstLine="0" w:firstLineChars="0"/>
              <w:jc w:val="center"/>
              <w:rPr>
                <w:color w:val="000000"/>
                <w:kern w:val="0"/>
                <w:szCs w:val="24"/>
                <w:lang w:bidi="ar"/>
              </w:rPr>
            </w:pPr>
            <w:r>
              <w:rPr>
                <w:color w:val="000000"/>
                <w:kern w:val="0"/>
                <w:szCs w:val="24"/>
                <w:lang w:bidi="ar"/>
              </w:rPr>
              <w:t>《排污许可证申请与核发技术规范 制药工业—化学药品制剂制造》</w:t>
            </w:r>
          </w:p>
        </w:tc>
        <w:tc>
          <w:tcPr>
            <w:tcW w:w="2971" w:type="dxa"/>
            <w:vAlign w:val="center"/>
          </w:tcPr>
          <w:p w14:paraId="01E1D8B3">
            <w:pPr>
              <w:widowControl/>
              <w:spacing w:line="240" w:lineRule="atLeast"/>
              <w:ind w:firstLine="0" w:firstLineChars="0"/>
              <w:jc w:val="center"/>
            </w:pPr>
            <w:r>
              <w:fldChar w:fldCharType="begin"/>
            </w:r>
            <w:r>
              <w:instrText xml:space="preserve"> HYPERLINK "https://www.mee.gov.cn/ywgz/fgbz/bz/bzwb/jcffbz/201912/W020200103326295794926.pdf" </w:instrText>
            </w:r>
            <w:r>
              <w:fldChar w:fldCharType="separate"/>
            </w:r>
            <w:r>
              <w:t>HJ 1063—2019</w:t>
            </w:r>
            <w:r>
              <w:fldChar w:fldCharType="end"/>
            </w:r>
          </w:p>
        </w:tc>
      </w:tr>
      <w:tr w14:paraId="31A53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362C3754">
            <w:pPr>
              <w:widowControl/>
              <w:spacing w:line="240" w:lineRule="atLeast"/>
              <w:ind w:firstLine="0" w:firstLineChars="0"/>
              <w:jc w:val="center"/>
              <w:rPr>
                <w:color w:val="000000"/>
                <w:kern w:val="0"/>
                <w:szCs w:val="24"/>
                <w:lang w:bidi="ar"/>
              </w:rPr>
            </w:pPr>
            <w:r>
              <w:rPr>
                <w:color w:val="000000"/>
                <w:kern w:val="0"/>
                <w:szCs w:val="24"/>
                <w:lang w:bidi="ar"/>
              </w:rPr>
              <w:t>6</w:t>
            </w:r>
          </w:p>
        </w:tc>
        <w:tc>
          <w:tcPr>
            <w:tcW w:w="5647" w:type="dxa"/>
            <w:vAlign w:val="center"/>
          </w:tcPr>
          <w:p w14:paraId="44F39B0C">
            <w:pPr>
              <w:widowControl/>
              <w:spacing w:line="240" w:lineRule="atLeast"/>
              <w:ind w:firstLine="0" w:firstLineChars="0"/>
              <w:jc w:val="center"/>
              <w:rPr>
                <w:color w:val="000000"/>
                <w:kern w:val="0"/>
                <w:szCs w:val="24"/>
                <w:lang w:bidi="ar"/>
              </w:rPr>
            </w:pPr>
            <w:r>
              <w:rPr>
                <w:color w:val="000000"/>
                <w:kern w:val="0"/>
                <w:szCs w:val="24"/>
                <w:lang w:bidi="ar"/>
              </w:rPr>
              <w:t>《</w:t>
            </w:r>
            <w:r>
              <w:fldChar w:fldCharType="begin"/>
            </w:r>
            <w:r>
              <w:instrText xml:space="preserve"> HYPERLINK "https://www.mee.gov.cn/ywgz/fgbz/bz/bzwb/jcffbz/201912/W020200103325198347687.pdf" </w:instrText>
            </w:r>
            <w:r>
              <w:fldChar w:fldCharType="separate"/>
            </w:r>
            <w:r>
              <w:rPr>
                <w:color w:val="000000"/>
                <w:kern w:val="0"/>
                <w:szCs w:val="24"/>
                <w:lang w:bidi="ar"/>
              </w:rPr>
              <w:t>排污许可证申请与核发技术规范 制药工业—生物药品制品制造》</w:t>
            </w:r>
            <w:r>
              <w:rPr>
                <w:color w:val="000000"/>
                <w:kern w:val="0"/>
                <w:szCs w:val="24"/>
                <w:lang w:bidi="ar"/>
              </w:rPr>
              <w:fldChar w:fldCharType="end"/>
            </w:r>
          </w:p>
        </w:tc>
        <w:tc>
          <w:tcPr>
            <w:tcW w:w="2971" w:type="dxa"/>
            <w:vAlign w:val="center"/>
          </w:tcPr>
          <w:p w14:paraId="375EBB5A">
            <w:pPr>
              <w:widowControl/>
              <w:spacing w:line="240" w:lineRule="atLeast"/>
              <w:ind w:firstLine="0" w:firstLineChars="0"/>
              <w:jc w:val="center"/>
              <w:rPr>
                <w:color w:val="000000"/>
                <w:kern w:val="0"/>
                <w:szCs w:val="24"/>
                <w:lang w:bidi="ar"/>
              </w:rPr>
            </w:pPr>
            <w:r>
              <w:rPr>
                <w:color w:val="000000"/>
                <w:kern w:val="0"/>
                <w:szCs w:val="24"/>
                <w:lang w:bidi="ar"/>
              </w:rPr>
              <w:t>HJ 1062—2019</w:t>
            </w:r>
          </w:p>
        </w:tc>
      </w:tr>
      <w:tr w14:paraId="7109C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46A9EBCD">
            <w:pPr>
              <w:widowControl/>
              <w:spacing w:line="240" w:lineRule="atLeast"/>
              <w:ind w:firstLine="0" w:firstLineChars="0"/>
              <w:jc w:val="center"/>
              <w:rPr>
                <w:color w:val="000000"/>
                <w:kern w:val="0"/>
                <w:szCs w:val="24"/>
                <w:lang w:bidi="ar"/>
              </w:rPr>
            </w:pPr>
            <w:r>
              <w:rPr>
                <w:color w:val="000000"/>
                <w:kern w:val="0"/>
                <w:szCs w:val="24"/>
                <w:lang w:bidi="ar"/>
              </w:rPr>
              <w:t>7</w:t>
            </w:r>
          </w:p>
        </w:tc>
        <w:tc>
          <w:tcPr>
            <w:tcW w:w="5647" w:type="dxa"/>
            <w:vAlign w:val="center"/>
          </w:tcPr>
          <w:p w14:paraId="55F13EFC">
            <w:pPr>
              <w:widowControl/>
              <w:spacing w:line="240" w:lineRule="atLeast"/>
              <w:ind w:firstLine="0" w:firstLineChars="0"/>
              <w:jc w:val="center"/>
              <w:rPr>
                <w:color w:val="000000"/>
                <w:kern w:val="0"/>
                <w:szCs w:val="24"/>
                <w:lang w:bidi="ar"/>
              </w:rPr>
            </w:pPr>
            <w:r>
              <w:rPr>
                <w:color w:val="000000"/>
                <w:kern w:val="0"/>
                <w:szCs w:val="24"/>
                <w:lang w:bidi="ar"/>
              </w:rPr>
              <w:t>《排污许可证申请与核发技术规范 农药制造工业》</w:t>
            </w:r>
          </w:p>
        </w:tc>
        <w:tc>
          <w:tcPr>
            <w:tcW w:w="2971" w:type="dxa"/>
            <w:vAlign w:val="center"/>
          </w:tcPr>
          <w:p w14:paraId="2451995A">
            <w:pPr>
              <w:widowControl/>
              <w:spacing w:line="240" w:lineRule="atLeast"/>
              <w:ind w:firstLine="0" w:firstLineChars="0"/>
              <w:jc w:val="center"/>
              <w:rPr>
                <w:color w:val="000000"/>
                <w:kern w:val="0"/>
                <w:szCs w:val="24"/>
                <w:lang w:bidi="ar"/>
              </w:rPr>
            </w:pPr>
            <w:r>
              <w:fldChar w:fldCharType="begin"/>
            </w:r>
            <w:r>
              <w:instrText xml:space="preserve"> HYPERLINK "https://www.mee.gov.cn/ywgz/fgbz/bz/bzwb/pwxk/201710/W020171010328000653690.pdf" </w:instrText>
            </w:r>
            <w:r>
              <w:fldChar w:fldCharType="separate"/>
            </w:r>
            <w:r>
              <w:rPr>
                <w:color w:val="000000"/>
                <w:kern w:val="0"/>
                <w:szCs w:val="24"/>
                <w:lang w:bidi="ar"/>
              </w:rPr>
              <w:t>HJ 862-2017</w:t>
            </w:r>
            <w:r>
              <w:rPr>
                <w:color w:val="000000"/>
                <w:kern w:val="0"/>
                <w:szCs w:val="24"/>
                <w:lang w:bidi="ar"/>
              </w:rPr>
              <w:fldChar w:fldCharType="end"/>
            </w:r>
          </w:p>
        </w:tc>
      </w:tr>
      <w:tr w14:paraId="7774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76A040C3">
            <w:pPr>
              <w:widowControl/>
              <w:spacing w:line="240" w:lineRule="atLeast"/>
              <w:ind w:firstLine="0" w:firstLineChars="0"/>
              <w:jc w:val="center"/>
              <w:rPr>
                <w:color w:val="FF0000"/>
                <w:kern w:val="0"/>
                <w:szCs w:val="24"/>
                <w:lang w:bidi="ar"/>
              </w:rPr>
            </w:pPr>
            <w:r>
              <w:rPr>
                <w:kern w:val="0"/>
                <w:szCs w:val="24"/>
                <w:lang w:bidi="ar"/>
              </w:rPr>
              <w:t>8</w:t>
            </w:r>
          </w:p>
        </w:tc>
        <w:tc>
          <w:tcPr>
            <w:tcW w:w="5647" w:type="dxa"/>
            <w:vAlign w:val="center"/>
          </w:tcPr>
          <w:p w14:paraId="440309CE">
            <w:pPr>
              <w:widowControl/>
              <w:spacing w:line="240" w:lineRule="atLeast"/>
              <w:ind w:firstLine="0" w:firstLineChars="0"/>
              <w:jc w:val="center"/>
              <w:rPr>
                <w:color w:val="000000"/>
                <w:kern w:val="0"/>
                <w:szCs w:val="24"/>
                <w:lang w:bidi="ar"/>
              </w:rPr>
            </w:pPr>
            <w:r>
              <w:rPr>
                <w:color w:val="000000"/>
                <w:kern w:val="0"/>
                <w:szCs w:val="24"/>
                <w:lang w:bidi="ar"/>
              </w:rPr>
              <w:t>《排污许可证申请与核发技术规范 农药制造工业》</w:t>
            </w:r>
          </w:p>
        </w:tc>
        <w:tc>
          <w:tcPr>
            <w:tcW w:w="2971" w:type="dxa"/>
            <w:vAlign w:val="center"/>
          </w:tcPr>
          <w:p w14:paraId="1AA0050D">
            <w:pPr>
              <w:widowControl/>
              <w:spacing w:line="240" w:lineRule="atLeast"/>
              <w:ind w:firstLine="0" w:firstLineChars="0"/>
              <w:jc w:val="center"/>
              <w:rPr>
                <w:color w:val="000000"/>
                <w:kern w:val="0"/>
                <w:szCs w:val="24"/>
                <w:lang w:bidi="ar"/>
              </w:rPr>
            </w:pPr>
            <w:r>
              <w:fldChar w:fldCharType="begin"/>
            </w:r>
            <w:r>
              <w:instrText xml:space="preserve"> HYPERLINK "https://www.mee.gov.cn/ywgz/fgbz/bz/bzwb/pwxk/201710/W020171010328000653690.pdf" </w:instrText>
            </w:r>
            <w:r>
              <w:fldChar w:fldCharType="separate"/>
            </w:r>
            <w:r>
              <w:rPr>
                <w:color w:val="000000"/>
                <w:kern w:val="0"/>
                <w:szCs w:val="24"/>
                <w:lang w:bidi="ar"/>
              </w:rPr>
              <w:t>HJ 862-2017</w:t>
            </w:r>
            <w:r>
              <w:rPr>
                <w:color w:val="000000"/>
                <w:kern w:val="0"/>
                <w:szCs w:val="24"/>
                <w:lang w:bidi="ar"/>
              </w:rPr>
              <w:fldChar w:fldCharType="end"/>
            </w:r>
          </w:p>
        </w:tc>
      </w:tr>
      <w:tr w14:paraId="24817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2FF942ED">
            <w:pPr>
              <w:widowControl/>
              <w:spacing w:line="240" w:lineRule="atLeast"/>
              <w:ind w:firstLine="0" w:firstLineChars="0"/>
              <w:jc w:val="center"/>
              <w:rPr>
                <w:color w:val="000000"/>
                <w:kern w:val="0"/>
                <w:szCs w:val="24"/>
                <w:lang w:bidi="ar"/>
              </w:rPr>
            </w:pPr>
            <w:r>
              <w:rPr>
                <w:color w:val="000000"/>
                <w:kern w:val="0"/>
                <w:szCs w:val="24"/>
                <w:lang w:bidi="ar"/>
              </w:rPr>
              <w:t>9</w:t>
            </w:r>
          </w:p>
        </w:tc>
        <w:tc>
          <w:tcPr>
            <w:tcW w:w="5647" w:type="dxa"/>
            <w:vAlign w:val="center"/>
          </w:tcPr>
          <w:p w14:paraId="47A98F95">
            <w:pPr>
              <w:widowControl/>
              <w:spacing w:line="240" w:lineRule="atLeast"/>
              <w:ind w:firstLine="0" w:firstLineChars="0"/>
              <w:jc w:val="center"/>
              <w:rPr>
                <w:color w:val="000000"/>
                <w:kern w:val="0"/>
                <w:szCs w:val="24"/>
                <w:lang w:bidi="ar"/>
              </w:rPr>
            </w:pPr>
            <w:r>
              <w:rPr>
                <w:color w:val="000000"/>
                <w:kern w:val="0"/>
                <w:szCs w:val="24"/>
                <w:lang w:bidi="ar"/>
              </w:rPr>
              <w:t>《</w:t>
            </w:r>
            <w:r>
              <w:fldChar w:fldCharType="begin"/>
            </w:r>
            <w:r>
              <w:instrText xml:space="preserve"> HYPERLINK "https://www.mee.gov.cn/ywgz/fgbz/bz/bzwb/pwxk/201709/W020170918582551236954.pdf" </w:instrText>
            </w:r>
            <w:r>
              <w:fldChar w:fldCharType="separate"/>
            </w:r>
            <w:r>
              <w:rPr>
                <w:color w:val="000000"/>
                <w:kern w:val="0"/>
                <w:szCs w:val="24"/>
                <w:lang w:bidi="ar"/>
              </w:rPr>
              <w:t>排污许可证申请与核发技术规范 炼焦化学工业</w:t>
            </w:r>
            <w:r>
              <w:rPr>
                <w:color w:val="000000"/>
                <w:kern w:val="0"/>
                <w:szCs w:val="24"/>
                <w:lang w:bidi="ar"/>
              </w:rPr>
              <w:fldChar w:fldCharType="end"/>
            </w:r>
            <w:r>
              <w:rPr>
                <w:color w:val="000000"/>
                <w:kern w:val="0"/>
                <w:szCs w:val="24"/>
                <w:lang w:bidi="ar"/>
              </w:rPr>
              <w:t>》</w:t>
            </w:r>
          </w:p>
        </w:tc>
        <w:tc>
          <w:tcPr>
            <w:tcW w:w="2971" w:type="dxa"/>
            <w:vAlign w:val="center"/>
          </w:tcPr>
          <w:p w14:paraId="6D350CE9">
            <w:pPr>
              <w:widowControl/>
              <w:spacing w:line="240" w:lineRule="atLeast"/>
              <w:ind w:firstLine="0" w:firstLineChars="0"/>
              <w:jc w:val="center"/>
              <w:rPr>
                <w:color w:val="000000"/>
                <w:kern w:val="0"/>
                <w:szCs w:val="24"/>
                <w:lang w:bidi="ar"/>
              </w:rPr>
            </w:pPr>
            <w:r>
              <w:rPr>
                <w:color w:val="000000"/>
                <w:kern w:val="0"/>
                <w:szCs w:val="24"/>
                <w:lang w:bidi="ar"/>
              </w:rPr>
              <w:t>HJ 854—2017</w:t>
            </w:r>
          </w:p>
        </w:tc>
      </w:tr>
      <w:tr w14:paraId="6900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342219F7">
            <w:pPr>
              <w:widowControl/>
              <w:spacing w:line="240" w:lineRule="atLeast"/>
              <w:ind w:firstLine="0" w:firstLineChars="0"/>
              <w:jc w:val="center"/>
              <w:rPr>
                <w:color w:val="000000"/>
                <w:kern w:val="0"/>
                <w:szCs w:val="24"/>
                <w:lang w:bidi="ar"/>
              </w:rPr>
            </w:pPr>
            <w:r>
              <w:rPr>
                <w:color w:val="000000"/>
                <w:kern w:val="0"/>
                <w:szCs w:val="24"/>
                <w:lang w:bidi="ar"/>
              </w:rPr>
              <w:t>10</w:t>
            </w:r>
          </w:p>
        </w:tc>
        <w:tc>
          <w:tcPr>
            <w:tcW w:w="5647" w:type="dxa"/>
            <w:vAlign w:val="center"/>
          </w:tcPr>
          <w:p w14:paraId="7AC52FF0">
            <w:pPr>
              <w:widowControl/>
              <w:spacing w:line="240" w:lineRule="atLeast"/>
              <w:ind w:firstLine="0" w:firstLineChars="0"/>
              <w:jc w:val="center"/>
              <w:rPr>
                <w:color w:val="000000"/>
                <w:kern w:val="0"/>
                <w:szCs w:val="24"/>
                <w:lang w:bidi="ar"/>
              </w:rPr>
            </w:pPr>
            <w:r>
              <w:rPr>
                <w:color w:val="000000"/>
                <w:kern w:val="0"/>
                <w:szCs w:val="24"/>
                <w:lang w:bidi="ar"/>
              </w:rPr>
              <w:t>《排污许可证申请与核发技术规范 涂料、油墨、颜料及类似产品制造业》</w:t>
            </w:r>
          </w:p>
        </w:tc>
        <w:tc>
          <w:tcPr>
            <w:tcW w:w="2971" w:type="dxa"/>
            <w:vAlign w:val="center"/>
          </w:tcPr>
          <w:p w14:paraId="36B97C1B">
            <w:pPr>
              <w:widowControl/>
              <w:spacing w:line="240" w:lineRule="atLeast"/>
              <w:ind w:firstLine="0" w:firstLineChars="0"/>
              <w:jc w:val="center"/>
              <w:rPr>
                <w:color w:val="000000"/>
                <w:kern w:val="0"/>
                <w:szCs w:val="24"/>
                <w:lang w:bidi="ar"/>
              </w:rPr>
            </w:pPr>
            <w:r>
              <w:fldChar w:fldCharType="begin"/>
            </w:r>
            <w:r>
              <w:instrText xml:space="preserve"> HYPERLINK "https://www.mee.gov.cn/ywgz/fgbz/bz/bzwb/pwxk/202003/W020200310525612183282.pdf" </w:instrText>
            </w:r>
            <w:r>
              <w:fldChar w:fldCharType="separate"/>
            </w:r>
            <w:r>
              <w:rPr>
                <w:color w:val="000000"/>
                <w:kern w:val="0"/>
                <w:szCs w:val="24"/>
                <w:lang w:bidi="ar"/>
              </w:rPr>
              <w:t>HJ 1116—2020</w:t>
            </w:r>
            <w:r>
              <w:rPr>
                <w:color w:val="000000"/>
                <w:kern w:val="0"/>
                <w:szCs w:val="24"/>
                <w:lang w:bidi="ar"/>
              </w:rPr>
              <w:fldChar w:fldCharType="end"/>
            </w:r>
          </w:p>
        </w:tc>
      </w:tr>
      <w:tr w14:paraId="7E5F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79F80095">
            <w:pPr>
              <w:widowControl/>
              <w:spacing w:line="240" w:lineRule="atLeast"/>
              <w:ind w:firstLine="0" w:firstLineChars="0"/>
              <w:jc w:val="center"/>
              <w:rPr>
                <w:color w:val="000000"/>
                <w:kern w:val="0"/>
                <w:szCs w:val="24"/>
                <w:lang w:bidi="ar"/>
              </w:rPr>
            </w:pPr>
            <w:r>
              <w:rPr>
                <w:color w:val="000000"/>
                <w:kern w:val="0"/>
                <w:szCs w:val="24"/>
                <w:lang w:bidi="ar"/>
              </w:rPr>
              <w:t>11</w:t>
            </w:r>
          </w:p>
        </w:tc>
        <w:tc>
          <w:tcPr>
            <w:tcW w:w="5647" w:type="dxa"/>
            <w:vAlign w:val="center"/>
          </w:tcPr>
          <w:p w14:paraId="02F0AF34">
            <w:pPr>
              <w:widowControl/>
              <w:spacing w:line="240" w:lineRule="atLeast"/>
              <w:ind w:firstLine="0" w:firstLineChars="0"/>
              <w:jc w:val="center"/>
              <w:rPr>
                <w:color w:val="000000"/>
                <w:kern w:val="0"/>
                <w:szCs w:val="24"/>
                <w:lang w:bidi="ar"/>
              </w:rPr>
            </w:pPr>
            <w:r>
              <w:rPr>
                <w:color w:val="000000"/>
                <w:kern w:val="0"/>
                <w:szCs w:val="24"/>
                <w:lang w:bidi="ar"/>
              </w:rPr>
              <w:t>《挥发性有机物治理实用手册》</w:t>
            </w:r>
          </w:p>
        </w:tc>
        <w:tc>
          <w:tcPr>
            <w:tcW w:w="2971" w:type="dxa"/>
            <w:vAlign w:val="center"/>
          </w:tcPr>
          <w:p w14:paraId="2AC5E7B0">
            <w:pPr>
              <w:widowControl/>
              <w:spacing w:line="240" w:lineRule="atLeast"/>
              <w:ind w:firstLine="0" w:firstLineChars="0"/>
              <w:jc w:val="center"/>
              <w:rPr>
                <w:color w:val="000000"/>
                <w:kern w:val="0"/>
                <w:szCs w:val="24"/>
                <w:lang w:bidi="ar"/>
              </w:rPr>
            </w:pPr>
          </w:p>
        </w:tc>
      </w:tr>
      <w:tr w14:paraId="2429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7F792C31">
            <w:pPr>
              <w:widowControl/>
              <w:spacing w:line="240" w:lineRule="atLeast"/>
              <w:ind w:firstLine="0" w:firstLineChars="0"/>
              <w:jc w:val="center"/>
              <w:rPr>
                <w:color w:val="000000"/>
                <w:kern w:val="0"/>
                <w:szCs w:val="24"/>
                <w:lang w:bidi="ar"/>
              </w:rPr>
            </w:pPr>
            <w:r>
              <w:rPr>
                <w:color w:val="000000"/>
                <w:kern w:val="0"/>
                <w:szCs w:val="24"/>
                <w:lang w:bidi="ar"/>
              </w:rPr>
              <w:t>12</w:t>
            </w:r>
          </w:p>
        </w:tc>
        <w:tc>
          <w:tcPr>
            <w:tcW w:w="5647" w:type="dxa"/>
            <w:vAlign w:val="center"/>
          </w:tcPr>
          <w:p w14:paraId="32CF134A">
            <w:pPr>
              <w:widowControl/>
              <w:spacing w:line="240" w:lineRule="atLeast"/>
              <w:ind w:firstLine="0" w:firstLineChars="0"/>
              <w:jc w:val="center"/>
              <w:rPr>
                <w:color w:val="000000"/>
                <w:kern w:val="0"/>
                <w:szCs w:val="24"/>
                <w:lang w:bidi="ar"/>
              </w:rPr>
            </w:pPr>
            <w:r>
              <w:rPr>
                <w:color w:val="000000"/>
                <w:kern w:val="0"/>
                <w:szCs w:val="24"/>
                <w:lang w:bidi="ar"/>
              </w:rPr>
              <w:t>《制药工业污染防治可行技术指南（征求意见稿）》</w:t>
            </w:r>
          </w:p>
        </w:tc>
        <w:tc>
          <w:tcPr>
            <w:tcW w:w="2971" w:type="dxa"/>
            <w:vAlign w:val="center"/>
          </w:tcPr>
          <w:p w14:paraId="71844B0C">
            <w:pPr>
              <w:widowControl/>
              <w:spacing w:line="240" w:lineRule="atLeast"/>
              <w:ind w:firstLine="0" w:firstLineChars="0"/>
              <w:rPr>
                <w:color w:val="000000"/>
                <w:kern w:val="0"/>
                <w:szCs w:val="24"/>
                <w:lang w:bidi="ar"/>
              </w:rPr>
            </w:pPr>
            <w:r>
              <w:rPr>
                <w:color w:val="000000"/>
                <w:kern w:val="0"/>
                <w:szCs w:val="24"/>
                <w:lang w:bidi="ar"/>
              </w:rPr>
              <w:t>环办标征函〔2022〕29号</w:t>
            </w:r>
          </w:p>
        </w:tc>
      </w:tr>
      <w:tr w14:paraId="3336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2D492D2E">
            <w:pPr>
              <w:widowControl/>
              <w:spacing w:line="240" w:lineRule="atLeast"/>
              <w:ind w:firstLine="0" w:firstLineChars="0"/>
              <w:jc w:val="center"/>
              <w:rPr>
                <w:color w:val="000000"/>
                <w:kern w:val="0"/>
                <w:szCs w:val="24"/>
                <w:lang w:bidi="ar"/>
              </w:rPr>
            </w:pPr>
            <w:r>
              <w:rPr>
                <w:color w:val="000000"/>
                <w:kern w:val="0"/>
                <w:szCs w:val="24"/>
                <w:lang w:bidi="ar"/>
              </w:rPr>
              <w:t>13</w:t>
            </w:r>
          </w:p>
        </w:tc>
        <w:tc>
          <w:tcPr>
            <w:tcW w:w="5647" w:type="dxa"/>
            <w:vAlign w:val="center"/>
          </w:tcPr>
          <w:p w14:paraId="1C06E756">
            <w:pPr>
              <w:widowControl/>
              <w:spacing w:line="240" w:lineRule="atLeast"/>
              <w:ind w:firstLine="0" w:firstLineChars="0"/>
              <w:jc w:val="center"/>
              <w:rPr>
                <w:color w:val="000000"/>
                <w:kern w:val="0"/>
                <w:szCs w:val="24"/>
                <w:lang w:bidi="ar"/>
              </w:rPr>
            </w:pPr>
            <w:r>
              <w:rPr>
                <w:color w:val="000000"/>
                <w:kern w:val="0"/>
                <w:szCs w:val="24"/>
                <w:lang w:bidi="ar"/>
              </w:rPr>
              <w:t>《</w:t>
            </w:r>
            <w:r>
              <w:fldChar w:fldCharType="begin"/>
            </w:r>
            <w:r>
              <w:instrText xml:space="preserve"> HYPERLINK "https://www.mee.gov.cn/ywgz/fgbz/bz/bzwb/kxxjszn/202303/W020230324584156584012.pdf" </w:instrText>
            </w:r>
            <w:r>
              <w:fldChar w:fldCharType="separate"/>
            </w:r>
            <w:r>
              <w:rPr>
                <w:color w:val="000000"/>
                <w:kern w:val="0"/>
                <w:szCs w:val="24"/>
                <w:lang w:bidi="ar"/>
              </w:rPr>
              <w:t>农药制造工业污染防治可行技术指南</w:t>
            </w:r>
            <w:r>
              <w:rPr>
                <w:color w:val="000000"/>
                <w:kern w:val="0"/>
                <w:szCs w:val="24"/>
                <w:lang w:bidi="ar"/>
              </w:rPr>
              <w:fldChar w:fldCharType="end"/>
            </w:r>
            <w:r>
              <w:rPr>
                <w:color w:val="000000"/>
                <w:kern w:val="0"/>
                <w:szCs w:val="24"/>
                <w:lang w:bidi="ar"/>
              </w:rPr>
              <w:t>》</w:t>
            </w:r>
          </w:p>
        </w:tc>
        <w:tc>
          <w:tcPr>
            <w:tcW w:w="2971" w:type="dxa"/>
            <w:vAlign w:val="center"/>
          </w:tcPr>
          <w:p w14:paraId="6F3CB71D">
            <w:pPr>
              <w:widowControl/>
              <w:spacing w:line="240" w:lineRule="atLeast"/>
              <w:ind w:firstLine="0" w:firstLineChars="0"/>
              <w:jc w:val="center"/>
              <w:rPr>
                <w:color w:val="000000"/>
                <w:kern w:val="0"/>
                <w:szCs w:val="24"/>
                <w:lang w:bidi="ar"/>
              </w:rPr>
            </w:pPr>
            <w:r>
              <w:rPr>
                <w:color w:val="000000"/>
                <w:kern w:val="0"/>
                <w:szCs w:val="24"/>
                <w:lang w:bidi="ar"/>
              </w:rPr>
              <w:t>HJ 1293—2023</w:t>
            </w:r>
          </w:p>
        </w:tc>
      </w:tr>
      <w:tr w14:paraId="0BA6E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7FCB8D47">
            <w:pPr>
              <w:widowControl/>
              <w:spacing w:line="240" w:lineRule="atLeast"/>
              <w:ind w:firstLine="0" w:firstLineChars="0"/>
              <w:jc w:val="center"/>
              <w:rPr>
                <w:color w:val="000000"/>
                <w:kern w:val="0"/>
                <w:szCs w:val="24"/>
                <w:lang w:bidi="ar"/>
              </w:rPr>
            </w:pPr>
            <w:r>
              <w:rPr>
                <w:color w:val="000000"/>
                <w:kern w:val="0"/>
                <w:szCs w:val="24"/>
                <w:lang w:bidi="ar"/>
              </w:rPr>
              <w:t>14</w:t>
            </w:r>
          </w:p>
        </w:tc>
        <w:tc>
          <w:tcPr>
            <w:tcW w:w="5647" w:type="dxa"/>
            <w:vAlign w:val="center"/>
          </w:tcPr>
          <w:p w14:paraId="0DD8D800">
            <w:pPr>
              <w:widowControl/>
              <w:spacing w:line="240" w:lineRule="atLeast"/>
              <w:ind w:firstLine="0" w:firstLineChars="0"/>
              <w:jc w:val="center"/>
              <w:rPr>
                <w:color w:val="000000"/>
                <w:kern w:val="0"/>
                <w:szCs w:val="24"/>
                <w:lang w:bidi="ar"/>
              </w:rPr>
            </w:pPr>
            <w:r>
              <w:rPr>
                <w:color w:val="000000"/>
                <w:kern w:val="0"/>
                <w:szCs w:val="24"/>
                <w:lang w:bidi="ar"/>
              </w:rPr>
              <w:t>《炼焦化学工业污染防治可行技术指南》</w:t>
            </w:r>
          </w:p>
        </w:tc>
        <w:tc>
          <w:tcPr>
            <w:tcW w:w="2971" w:type="dxa"/>
            <w:vAlign w:val="center"/>
          </w:tcPr>
          <w:p w14:paraId="01E99553">
            <w:pPr>
              <w:widowControl/>
              <w:spacing w:line="240" w:lineRule="atLeast"/>
              <w:ind w:firstLine="0" w:firstLineChars="0"/>
              <w:jc w:val="center"/>
              <w:rPr>
                <w:color w:val="000000"/>
                <w:kern w:val="0"/>
                <w:szCs w:val="24"/>
                <w:lang w:bidi="ar"/>
              </w:rPr>
            </w:pPr>
            <w:r>
              <w:rPr>
                <w:color w:val="000000"/>
                <w:kern w:val="0"/>
                <w:szCs w:val="24"/>
                <w:lang w:bidi="ar"/>
              </w:rPr>
              <w:t>HJ 2306—2018</w:t>
            </w:r>
          </w:p>
        </w:tc>
      </w:tr>
      <w:tr w14:paraId="25BB8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6B661B86">
            <w:pPr>
              <w:widowControl/>
              <w:spacing w:line="240" w:lineRule="atLeast"/>
              <w:ind w:firstLine="0" w:firstLineChars="0"/>
              <w:jc w:val="center"/>
              <w:rPr>
                <w:color w:val="000000"/>
                <w:kern w:val="0"/>
                <w:szCs w:val="24"/>
                <w:lang w:bidi="ar"/>
              </w:rPr>
            </w:pPr>
            <w:r>
              <w:rPr>
                <w:color w:val="000000"/>
                <w:kern w:val="0"/>
                <w:szCs w:val="24"/>
                <w:lang w:bidi="ar"/>
              </w:rPr>
              <w:t>15</w:t>
            </w:r>
          </w:p>
        </w:tc>
        <w:tc>
          <w:tcPr>
            <w:tcW w:w="5647" w:type="dxa"/>
            <w:vAlign w:val="center"/>
          </w:tcPr>
          <w:p w14:paraId="0BD38177">
            <w:pPr>
              <w:widowControl/>
              <w:spacing w:line="240" w:lineRule="atLeast"/>
              <w:ind w:firstLine="0" w:firstLineChars="0"/>
              <w:jc w:val="center"/>
              <w:rPr>
                <w:color w:val="000000"/>
                <w:kern w:val="0"/>
                <w:szCs w:val="24"/>
                <w:lang w:bidi="ar"/>
              </w:rPr>
            </w:pPr>
            <w:r>
              <w:rPr>
                <w:color w:val="000000"/>
                <w:kern w:val="0"/>
                <w:szCs w:val="24"/>
                <w:lang w:bidi="ar"/>
              </w:rPr>
              <w:t>《</w:t>
            </w:r>
            <w:r>
              <w:fldChar w:fldCharType="begin"/>
            </w:r>
            <w:r>
              <w:instrText xml:space="preserve"> HYPERLINK "https://www.mee.gov.cn/ywgz/fgbz/bz/bzwb/kxxjszn/202106/W020210809525744720628.pdf" </w:instrText>
            </w:r>
            <w:r>
              <w:fldChar w:fldCharType="separate"/>
            </w:r>
            <w:r>
              <w:rPr>
                <w:color w:val="000000"/>
                <w:kern w:val="0"/>
                <w:szCs w:val="24"/>
                <w:lang w:bidi="ar"/>
              </w:rPr>
              <w:t>涂料油墨工业污染防治可行技术指南</w:t>
            </w:r>
            <w:r>
              <w:rPr>
                <w:color w:val="000000"/>
                <w:kern w:val="0"/>
                <w:szCs w:val="24"/>
                <w:lang w:bidi="ar"/>
              </w:rPr>
              <w:fldChar w:fldCharType="end"/>
            </w:r>
            <w:r>
              <w:rPr>
                <w:color w:val="000000"/>
                <w:kern w:val="0"/>
                <w:szCs w:val="24"/>
                <w:lang w:bidi="ar"/>
              </w:rPr>
              <w:t>》</w:t>
            </w:r>
          </w:p>
        </w:tc>
        <w:tc>
          <w:tcPr>
            <w:tcW w:w="2971" w:type="dxa"/>
            <w:vAlign w:val="center"/>
          </w:tcPr>
          <w:p w14:paraId="09A38B60">
            <w:pPr>
              <w:widowControl/>
              <w:spacing w:line="240" w:lineRule="atLeast"/>
              <w:ind w:firstLine="0" w:firstLineChars="0"/>
              <w:jc w:val="center"/>
              <w:rPr>
                <w:color w:val="000000"/>
                <w:kern w:val="0"/>
                <w:szCs w:val="24"/>
                <w:lang w:bidi="ar"/>
              </w:rPr>
            </w:pPr>
            <w:r>
              <w:rPr>
                <w:color w:val="000000"/>
                <w:kern w:val="0"/>
                <w:szCs w:val="24"/>
                <w:lang w:bidi="ar"/>
              </w:rPr>
              <w:t>HJ 1179—2021</w:t>
            </w:r>
          </w:p>
        </w:tc>
      </w:tr>
      <w:tr w14:paraId="0C60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4909FC03">
            <w:pPr>
              <w:widowControl/>
              <w:spacing w:line="240" w:lineRule="atLeast"/>
              <w:ind w:firstLine="0" w:firstLineChars="0"/>
              <w:jc w:val="center"/>
              <w:rPr>
                <w:color w:val="000000"/>
                <w:kern w:val="0"/>
                <w:szCs w:val="24"/>
                <w:lang w:bidi="ar"/>
              </w:rPr>
            </w:pPr>
            <w:r>
              <w:rPr>
                <w:color w:val="000000"/>
                <w:kern w:val="0"/>
                <w:szCs w:val="24"/>
                <w:lang w:bidi="ar"/>
              </w:rPr>
              <w:t>16</w:t>
            </w:r>
          </w:p>
        </w:tc>
        <w:tc>
          <w:tcPr>
            <w:tcW w:w="5647" w:type="dxa"/>
            <w:vAlign w:val="center"/>
          </w:tcPr>
          <w:p w14:paraId="375B52E7">
            <w:pPr>
              <w:widowControl/>
              <w:spacing w:line="240" w:lineRule="atLeast"/>
              <w:ind w:firstLine="0" w:firstLineChars="0"/>
              <w:jc w:val="center"/>
              <w:rPr>
                <w:color w:val="000000"/>
                <w:kern w:val="0"/>
                <w:szCs w:val="24"/>
                <w:lang w:bidi="ar"/>
              </w:rPr>
            </w:pPr>
            <w:r>
              <w:t>《合成树脂工业污染物排放标准》</w:t>
            </w:r>
          </w:p>
        </w:tc>
        <w:tc>
          <w:tcPr>
            <w:tcW w:w="2971" w:type="dxa"/>
            <w:vAlign w:val="center"/>
          </w:tcPr>
          <w:p w14:paraId="1BF7B096">
            <w:pPr>
              <w:widowControl/>
              <w:spacing w:line="240" w:lineRule="atLeast"/>
              <w:ind w:firstLine="0" w:firstLineChars="0"/>
              <w:jc w:val="center"/>
              <w:rPr>
                <w:color w:val="000000"/>
                <w:kern w:val="0"/>
                <w:szCs w:val="24"/>
                <w:lang w:bidi="ar"/>
              </w:rPr>
            </w:pPr>
            <w:r>
              <w:t>GB</w:t>
            </w:r>
            <w:r>
              <w:rPr>
                <w:rFonts w:hint="eastAsia"/>
              </w:rPr>
              <w:t xml:space="preserve"> </w:t>
            </w:r>
            <w:r>
              <w:t>31572-2015</w:t>
            </w:r>
          </w:p>
        </w:tc>
      </w:tr>
      <w:tr w14:paraId="540B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612917BD">
            <w:pPr>
              <w:widowControl/>
              <w:spacing w:line="240" w:lineRule="atLeast"/>
              <w:ind w:firstLine="0" w:firstLineChars="0"/>
              <w:jc w:val="center"/>
              <w:rPr>
                <w:color w:val="000000"/>
                <w:kern w:val="0"/>
                <w:szCs w:val="24"/>
                <w:lang w:bidi="ar"/>
              </w:rPr>
            </w:pPr>
            <w:r>
              <w:rPr>
                <w:color w:val="000000"/>
                <w:kern w:val="0"/>
                <w:szCs w:val="24"/>
                <w:lang w:bidi="ar"/>
              </w:rPr>
              <w:t>17</w:t>
            </w:r>
          </w:p>
        </w:tc>
        <w:tc>
          <w:tcPr>
            <w:tcW w:w="5647" w:type="dxa"/>
            <w:vAlign w:val="center"/>
          </w:tcPr>
          <w:p w14:paraId="1A158240">
            <w:pPr>
              <w:widowControl/>
              <w:spacing w:line="240" w:lineRule="atLeast"/>
              <w:ind w:firstLine="0" w:firstLineChars="0"/>
              <w:jc w:val="center"/>
              <w:rPr>
                <w:color w:val="000000"/>
                <w:kern w:val="0"/>
                <w:szCs w:val="24"/>
                <w:lang w:bidi="ar"/>
              </w:rPr>
            </w:pPr>
            <w:r>
              <w:t>《橡胶制品工业污染物排放标准》</w:t>
            </w:r>
          </w:p>
        </w:tc>
        <w:tc>
          <w:tcPr>
            <w:tcW w:w="2971" w:type="dxa"/>
            <w:vAlign w:val="center"/>
          </w:tcPr>
          <w:p w14:paraId="1FA7581E">
            <w:pPr>
              <w:widowControl/>
              <w:spacing w:line="240" w:lineRule="atLeast"/>
              <w:ind w:firstLine="0" w:firstLineChars="0"/>
              <w:jc w:val="center"/>
              <w:rPr>
                <w:color w:val="000000"/>
                <w:kern w:val="0"/>
                <w:szCs w:val="24"/>
                <w:lang w:bidi="ar"/>
              </w:rPr>
            </w:pPr>
            <w:r>
              <w:t>GB</w:t>
            </w:r>
            <w:r>
              <w:rPr>
                <w:rFonts w:hint="eastAsia"/>
              </w:rPr>
              <w:t xml:space="preserve"> </w:t>
            </w:r>
            <w:r>
              <w:t>27632-2011</w:t>
            </w:r>
          </w:p>
        </w:tc>
      </w:tr>
      <w:tr w14:paraId="6FEE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5F1E9D16">
            <w:pPr>
              <w:widowControl/>
              <w:spacing w:line="240" w:lineRule="atLeast"/>
              <w:ind w:firstLine="0" w:firstLineChars="0"/>
              <w:jc w:val="center"/>
              <w:rPr>
                <w:color w:val="000000"/>
                <w:kern w:val="0"/>
                <w:szCs w:val="24"/>
                <w:lang w:bidi="ar"/>
              </w:rPr>
            </w:pPr>
            <w:r>
              <w:rPr>
                <w:color w:val="000000"/>
                <w:kern w:val="0"/>
                <w:szCs w:val="24"/>
                <w:lang w:bidi="ar"/>
              </w:rPr>
              <w:t>18</w:t>
            </w:r>
          </w:p>
        </w:tc>
        <w:tc>
          <w:tcPr>
            <w:tcW w:w="5647" w:type="dxa"/>
            <w:vAlign w:val="center"/>
          </w:tcPr>
          <w:p w14:paraId="2D20108C">
            <w:pPr>
              <w:widowControl/>
              <w:spacing w:line="240" w:lineRule="atLeast"/>
              <w:ind w:firstLine="0" w:firstLineChars="0"/>
              <w:jc w:val="center"/>
            </w:pPr>
            <w:r>
              <w:t>《制药工业大气污染物排放标准》</w:t>
            </w:r>
          </w:p>
        </w:tc>
        <w:tc>
          <w:tcPr>
            <w:tcW w:w="2971" w:type="dxa"/>
            <w:vAlign w:val="center"/>
          </w:tcPr>
          <w:p w14:paraId="06D3480D">
            <w:pPr>
              <w:widowControl/>
              <w:spacing w:line="240" w:lineRule="atLeast"/>
              <w:ind w:firstLine="0" w:firstLineChars="0"/>
              <w:jc w:val="center"/>
            </w:pPr>
            <w:r>
              <w:rPr>
                <w:color w:val="000000"/>
                <w:kern w:val="0"/>
                <w:szCs w:val="24"/>
                <w:lang w:bidi="ar"/>
              </w:rPr>
              <w:t>GB 37823—2019</w:t>
            </w:r>
          </w:p>
        </w:tc>
      </w:tr>
      <w:tr w14:paraId="20A9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24ACB1B7">
            <w:pPr>
              <w:widowControl/>
              <w:spacing w:line="240" w:lineRule="atLeast"/>
              <w:ind w:firstLine="0" w:firstLineChars="0"/>
              <w:jc w:val="center"/>
              <w:rPr>
                <w:color w:val="000000"/>
                <w:kern w:val="0"/>
                <w:szCs w:val="24"/>
                <w:lang w:bidi="ar"/>
              </w:rPr>
            </w:pPr>
            <w:r>
              <w:rPr>
                <w:color w:val="000000"/>
                <w:kern w:val="0"/>
                <w:szCs w:val="24"/>
                <w:lang w:bidi="ar"/>
              </w:rPr>
              <w:t>19</w:t>
            </w:r>
          </w:p>
        </w:tc>
        <w:tc>
          <w:tcPr>
            <w:tcW w:w="5647" w:type="dxa"/>
            <w:vAlign w:val="center"/>
          </w:tcPr>
          <w:p w14:paraId="2C40A61A">
            <w:pPr>
              <w:widowControl/>
              <w:spacing w:line="240" w:lineRule="atLeast"/>
              <w:ind w:firstLine="0" w:firstLineChars="0"/>
              <w:jc w:val="center"/>
            </w:pPr>
            <w:r>
              <w:t>《涂料、油墨及胶黏剂工业大气染物排放标准》</w:t>
            </w:r>
          </w:p>
        </w:tc>
        <w:tc>
          <w:tcPr>
            <w:tcW w:w="2971" w:type="dxa"/>
            <w:vAlign w:val="center"/>
          </w:tcPr>
          <w:p w14:paraId="07DD2FD2">
            <w:pPr>
              <w:pStyle w:val="5"/>
              <w:shd w:val="clear" w:color="auto" w:fill="FFFFFF"/>
              <w:spacing w:before="0" w:after="0"/>
              <w:jc w:val="center"/>
              <w:rPr>
                <w:b w:val="0"/>
                <w:bCs w:val="0"/>
                <w:kern w:val="2"/>
                <w:sz w:val="24"/>
                <w:szCs w:val="22"/>
              </w:rPr>
            </w:pPr>
            <w:bookmarkStart w:id="87" w:name="_Toc149313351"/>
            <w:bookmarkStart w:id="88" w:name="_Toc159926930"/>
            <w:r>
              <w:rPr>
                <w:b w:val="0"/>
                <w:bCs w:val="0"/>
                <w:kern w:val="2"/>
                <w:sz w:val="24"/>
                <w:szCs w:val="22"/>
              </w:rPr>
              <w:t>GB 37824—2019</w:t>
            </w:r>
            <w:bookmarkEnd w:id="87"/>
            <w:bookmarkEnd w:id="88"/>
          </w:p>
        </w:tc>
      </w:tr>
      <w:tr w14:paraId="0E2FD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vAlign w:val="center"/>
          </w:tcPr>
          <w:p w14:paraId="43F9BB7C">
            <w:pPr>
              <w:widowControl/>
              <w:spacing w:line="240" w:lineRule="atLeast"/>
              <w:ind w:firstLine="0" w:firstLineChars="0"/>
              <w:jc w:val="center"/>
              <w:rPr>
                <w:color w:val="000000"/>
                <w:kern w:val="0"/>
                <w:szCs w:val="24"/>
                <w:lang w:bidi="ar"/>
              </w:rPr>
            </w:pPr>
            <w:r>
              <w:rPr>
                <w:color w:val="000000"/>
                <w:kern w:val="0"/>
                <w:szCs w:val="24"/>
                <w:lang w:bidi="ar"/>
              </w:rPr>
              <w:t>20</w:t>
            </w:r>
          </w:p>
        </w:tc>
        <w:tc>
          <w:tcPr>
            <w:tcW w:w="5647" w:type="dxa"/>
            <w:vAlign w:val="center"/>
          </w:tcPr>
          <w:p w14:paraId="204E337D">
            <w:pPr>
              <w:widowControl/>
              <w:spacing w:line="240" w:lineRule="atLeast"/>
              <w:ind w:firstLine="0" w:firstLineChars="0"/>
              <w:jc w:val="center"/>
            </w:pPr>
            <w:r>
              <w:t>农药工业挥发性有机物治理实用手册</w:t>
            </w:r>
          </w:p>
        </w:tc>
        <w:tc>
          <w:tcPr>
            <w:tcW w:w="2971" w:type="dxa"/>
            <w:vAlign w:val="center"/>
          </w:tcPr>
          <w:p w14:paraId="09214C61">
            <w:pPr>
              <w:pStyle w:val="5"/>
              <w:shd w:val="clear" w:color="auto" w:fill="FFFFFF"/>
              <w:spacing w:before="0" w:after="0"/>
              <w:jc w:val="center"/>
              <w:rPr>
                <w:b w:val="0"/>
                <w:bCs w:val="0"/>
                <w:kern w:val="2"/>
                <w:sz w:val="24"/>
                <w:szCs w:val="22"/>
              </w:rPr>
            </w:pPr>
          </w:p>
        </w:tc>
      </w:tr>
    </w:tbl>
    <w:p w14:paraId="1A288BC5">
      <w:pPr>
        <w:ind w:firstLine="480"/>
        <w:jc w:val="center"/>
        <w:rPr>
          <w:lang w:bidi="ar"/>
        </w:rPr>
      </w:pPr>
      <w:bookmarkStart w:id="89" w:name="_Toc19451"/>
      <w:bookmarkStart w:id="90" w:name="_Toc9798"/>
    </w:p>
    <w:p w14:paraId="0D5B755B">
      <w:pPr>
        <w:pStyle w:val="4"/>
        <w:spacing w:before="0" w:after="0"/>
        <w:rPr>
          <w:rFonts w:ascii="Times New Roman" w:hAnsi="Times New Roman"/>
        </w:rPr>
      </w:pPr>
      <w:bookmarkStart w:id="91" w:name="_Toc159926931"/>
      <w:r>
        <w:rPr>
          <w:rFonts w:ascii="Times New Roman" w:hAnsi="Times New Roman"/>
        </w:rPr>
        <w:t>4.2 地方相关标准</w:t>
      </w:r>
      <w:bookmarkEnd w:id="89"/>
      <w:bookmarkEnd w:id="90"/>
      <w:bookmarkEnd w:id="91"/>
    </w:p>
    <w:p w14:paraId="1FA74C22">
      <w:pPr>
        <w:widowControl/>
        <w:ind w:firstLine="480"/>
        <w:rPr>
          <w:color w:val="000000"/>
          <w:szCs w:val="28"/>
          <w:lang w:bidi="ar"/>
        </w:rPr>
      </w:pPr>
      <w:r>
        <w:rPr>
          <w:color w:val="000000"/>
          <w:szCs w:val="28"/>
          <w:lang w:bidi="ar"/>
        </w:rPr>
        <w:t>鉴于国家仅针对典型的有机化工行业从不同方面提出了VOCs排放管控策略，部分地区根据实际环境管理需求。</w:t>
      </w:r>
    </w:p>
    <w:p w14:paraId="752485FC">
      <w:pPr>
        <w:widowControl/>
        <w:ind w:firstLine="480"/>
        <w:rPr>
          <w:color w:val="000000"/>
          <w:lang w:bidi="ar"/>
        </w:rPr>
      </w:pPr>
      <w:r>
        <w:rPr>
          <w:color w:val="000000"/>
          <w:szCs w:val="28"/>
          <w:lang w:bidi="ar"/>
        </w:rPr>
        <w:t>近年来北京、天津、江苏、山东等省（市）先后制定了有机化工业行业挥发性有机物相关排放标准。天津市制定了《工业企业挥发性有机物排放控制标准》（DB</w:t>
      </w:r>
      <w:r>
        <w:rPr>
          <w:rFonts w:hint="eastAsia"/>
          <w:color w:val="000000"/>
          <w:szCs w:val="28"/>
          <w:lang w:bidi="ar"/>
        </w:rPr>
        <w:t xml:space="preserve"> </w:t>
      </w:r>
      <w:r>
        <w:rPr>
          <w:color w:val="000000"/>
          <w:szCs w:val="28"/>
          <w:lang w:bidi="ar"/>
        </w:rPr>
        <w:t>12/524-2014），浙江省制定了《化学合成类制药工业大气污染物排放标准》（DB</w:t>
      </w:r>
      <w:r>
        <w:rPr>
          <w:rFonts w:hint="eastAsia"/>
          <w:color w:val="000000"/>
          <w:szCs w:val="28"/>
          <w:lang w:bidi="ar"/>
        </w:rPr>
        <w:t xml:space="preserve"> </w:t>
      </w:r>
      <w:r>
        <w:rPr>
          <w:color w:val="000000"/>
          <w:szCs w:val="28"/>
          <w:lang w:bidi="ar"/>
        </w:rPr>
        <w:t>33/2015</w:t>
      </w:r>
      <w:r>
        <w:rPr>
          <w:rFonts w:hint="eastAsia"/>
          <w:color w:val="000000"/>
          <w:szCs w:val="28"/>
          <w:lang w:bidi="ar"/>
        </w:rPr>
        <w:t>-</w:t>
      </w:r>
      <w:r>
        <w:rPr>
          <w:color w:val="000000"/>
          <w:szCs w:val="28"/>
          <w:lang w:bidi="ar"/>
        </w:rPr>
        <w:t>2016），河北省制定了《工业企业挥发性有机物排放控制标准》（DB</w:t>
      </w:r>
      <w:r>
        <w:rPr>
          <w:rFonts w:hint="eastAsia"/>
          <w:color w:val="000000"/>
          <w:szCs w:val="28"/>
          <w:lang w:bidi="ar"/>
        </w:rPr>
        <w:t xml:space="preserve"> </w:t>
      </w:r>
      <w:r>
        <w:rPr>
          <w:color w:val="000000"/>
          <w:szCs w:val="28"/>
          <w:lang w:bidi="ar"/>
        </w:rPr>
        <w:t>13/2322-2016），江苏省制定了《化学工业挥发性有机物排放标准》（DB</w:t>
      </w:r>
      <w:r>
        <w:rPr>
          <w:rFonts w:hint="eastAsia"/>
          <w:color w:val="000000"/>
          <w:szCs w:val="28"/>
          <w:lang w:bidi="ar"/>
        </w:rPr>
        <w:t xml:space="preserve"> </w:t>
      </w:r>
      <w:r>
        <w:rPr>
          <w:color w:val="000000"/>
          <w:szCs w:val="28"/>
          <w:lang w:bidi="ar"/>
        </w:rPr>
        <w:t>32/3151-2016），北京市制定了《有机化学品制造业大气污染物排放标准》（DB</w:t>
      </w:r>
      <w:r>
        <w:rPr>
          <w:rFonts w:hint="eastAsia"/>
          <w:color w:val="000000"/>
          <w:szCs w:val="28"/>
          <w:lang w:bidi="ar"/>
        </w:rPr>
        <w:t xml:space="preserve"> </w:t>
      </w:r>
      <w:r>
        <w:rPr>
          <w:color w:val="000000"/>
          <w:szCs w:val="28"/>
          <w:lang w:bidi="ar"/>
        </w:rPr>
        <w:t>11/1385-2017），陕西省制定了《挥发性有机物排放控制标准》（DB</w:t>
      </w:r>
      <w:r>
        <w:rPr>
          <w:rFonts w:hint="eastAsia"/>
          <w:color w:val="000000"/>
          <w:szCs w:val="28"/>
          <w:lang w:bidi="ar"/>
        </w:rPr>
        <w:t xml:space="preserve"> </w:t>
      </w:r>
      <w:r>
        <w:rPr>
          <w:color w:val="000000"/>
          <w:szCs w:val="28"/>
          <w:lang w:bidi="ar"/>
        </w:rPr>
        <w:t>61/T1061-2017），四川省制定了《固定污染源大气挥发性有机物排放标准》（DB</w:t>
      </w:r>
      <w:r>
        <w:rPr>
          <w:rFonts w:hint="eastAsia"/>
          <w:color w:val="000000"/>
          <w:szCs w:val="28"/>
          <w:lang w:bidi="ar"/>
        </w:rPr>
        <w:t xml:space="preserve"> </w:t>
      </w:r>
      <w:r>
        <w:rPr>
          <w:color w:val="000000"/>
          <w:szCs w:val="28"/>
          <w:lang w:bidi="ar"/>
        </w:rPr>
        <w:t>51/2377-2017），山东省制定了《</w:t>
      </w:r>
      <w:r>
        <w:rPr>
          <w:szCs w:val="28"/>
        </w:rPr>
        <w:t>挥发性有机物排放标准-第6部分：有机化工行业》（DB 37/2801.6</w:t>
      </w:r>
      <w:r>
        <w:rPr>
          <w:rFonts w:hint="eastAsia"/>
          <w:szCs w:val="28"/>
        </w:rPr>
        <w:t>-</w:t>
      </w:r>
      <w:r>
        <w:rPr>
          <w:szCs w:val="28"/>
        </w:rPr>
        <w:t>2018）。江西省也于2019年发布有机化工行业地方标准《挥发性有机物排放标准 第2部分：有机化工行业》（DB</w:t>
      </w:r>
      <w:r>
        <w:rPr>
          <w:rFonts w:hint="eastAsia"/>
          <w:szCs w:val="28"/>
        </w:rPr>
        <w:t xml:space="preserve"> </w:t>
      </w:r>
      <w:r>
        <w:rPr>
          <w:szCs w:val="28"/>
        </w:rPr>
        <w:t>36/1101.2-2019）。</w:t>
      </w:r>
      <w:r>
        <w:rPr>
          <w:color w:val="000000"/>
          <w:szCs w:val="28"/>
          <w:lang w:bidi="ar"/>
        </w:rPr>
        <w:t>地方相关标准分析见表4.2-1。</w:t>
      </w:r>
    </w:p>
    <w:p w14:paraId="0B0AD5B0">
      <w:pPr>
        <w:keepNext/>
        <w:keepLines/>
        <w:spacing w:line="240" w:lineRule="atLeast"/>
        <w:ind w:firstLine="482"/>
        <w:jc w:val="center"/>
        <w:rPr>
          <w:b/>
          <w:bCs/>
          <w:lang w:bidi="ar"/>
        </w:rPr>
      </w:pPr>
      <w:r>
        <w:rPr>
          <w:b/>
          <w:bCs/>
          <w:lang w:bidi="ar"/>
        </w:rPr>
        <w:t xml:space="preserve">表4.2-1 </w:t>
      </w:r>
      <w:r>
        <w:rPr>
          <w:rFonts w:hint="eastAsia"/>
          <w:b/>
          <w:bCs/>
          <w:lang w:bidi="ar"/>
        </w:rPr>
        <w:t xml:space="preserve"> </w:t>
      </w:r>
      <w:r>
        <w:rPr>
          <w:b/>
          <w:bCs/>
          <w:lang w:bidi="ar"/>
        </w:rPr>
        <w:t>各省市有机化工行业VOCs排放标准和控制技术指南一览表</w:t>
      </w:r>
    </w:p>
    <w:tbl>
      <w:tblPr>
        <w:tblStyle w:val="21"/>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960"/>
        <w:gridCol w:w="3260"/>
        <w:gridCol w:w="1276"/>
      </w:tblGrid>
      <w:tr w14:paraId="68C5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09" w:type="dxa"/>
            <w:vAlign w:val="center"/>
          </w:tcPr>
          <w:p w14:paraId="245482C3">
            <w:pPr>
              <w:widowControl/>
              <w:spacing w:line="240" w:lineRule="auto"/>
              <w:ind w:firstLine="0" w:firstLineChars="0"/>
              <w:jc w:val="center"/>
              <w:rPr>
                <w:b/>
                <w:bCs/>
                <w:color w:val="000000"/>
                <w:kern w:val="0"/>
                <w:szCs w:val="24"/>
                <w:lang w:bidi="ar"/>
              </w:rPr>
            </w:pPr>
            <w:r>
              <w:rPr>
                <w:b/>
                <w:bCs/>
                <w:color w:val="000000"/>
                <w:kern w:val="0"/>
                <w:szCs w:val="24"/>
                <w:lang w:bidi="ar"/>
              </w:rPr>
              <w:t>省市</w:t>
            </w:r>
          </w:p>
        </w:tc>
        <w:tc>
          <w:tcPr>
            <w:tcW w:w="3960" w:type="dxa"/>
            <w:vAlign w:val="center"/>
          </w:tcPr>
          <w:p w14:paraId="0D055EB3">
            <w:pPr>
              <w:widowControl/>
              <w:spacing w:line="240" w:lineRule="auto"/>
              <w:ind w:firstLine="0" w:firstLineChars="0"/>
              <w:jc w:val="center"/>
              <w:rPr>
                <w:b/>
                <w:bCs/>
                <w:color w:val="000000"/>
                <w:kern w:val="0"/>
                <w:szCs w:val="24"/>
                <w:lang w:bidi="ar"/>
              </w:rPr>
            </w:pPr>
            <w:r>
              <w:rPr>
                <w:b/>
                <w:bCs/>
                <w:color w:val="000000"/>
                <w:kern w:val="0"/>
                <w:szCs w:val="24"/>
                <w:lang w:bidi="ar"/>
              </w:rPr>
              <w:t>标准名称</w:t>
            </w:r>
          </w:p>
        </w:tc>
        <w:tc>
          <w:tcPr>
            <w:tcW w:w="3260" w:type="dxa"/>
            <w:vAlign w:val="center"/>
          </w:tcPr>
          <w:p w14:paraId="0ED39F7F">
            <w:pPr>
              <w:widowControl/>
              <w:spacing w:line="240" w:lineRule="auto"/>
              <w:ind w:firstLine="0" w:firstLineChars="0"/>
              <w:jc w:val="center"/>
              <w:rPr>
                <w:b/>
                <w:bCs/>
                <w:color w:val="000000"/>
                <w:kern w:val="0"/>
                <w:szCs w:val="24"/>
                <w:lang w:bidi="ar"/>
              </w:rPr>
            </w:pPr>
            <w:r>
              <w:rPr>
                <w:b/>
                <w:bCs/>
                <w:color w:val="000000"/>
                <w:kern w:val="0"/>
                <w:szCs w:val="24"/>
                <w:lang w:bidi="ar"/>
              </w:rPr>
              <w:t>包含行业</w:t>
            </w:r>
          </w:p>
        </w:tc>
        <w:tc>
          <w:tcPr>
            <w:tcW w:w="1276" w:type="dxa"/>
            <w:vAlign w:val="center"/>
          </w:tcPr>
          <w:p w14:paraId="77B12D45">
            <w:pPr>
              <w:widowControl/>
              <w:spacing w:line="240" w:lineRule="auto"/>
              <w:ind w:firstLine="0" w:firstLineChars="0"/>
              <w:jc w:val="center"/>
              <w:rPr>
                <w:b/>
                <w:bCs/>
                <w:color w:val="000000"/>
                <w:kern w:val="0"/>
                <w:szCs w:val="24"/>
                <w:lang w:bidi="ar"/>
              </w:rPr>
            </w:pPr>
            <w:r>
              <w:rPr>
                <w:b/>
                <w:bCs/>
                <w:color w:val="000000"/>
                <w:kern w:val="0"/>
                <w:szCs w:val="24"/>
                <w:lang w:bidi="ar"/>
              </w:rPr>
              <w:t>标准编号</w:t>
            </w:r>
          </w:p>
        </w:tc>
      </w:tr>
      <w:tr w14:paraId="0541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16296087">
            <w:pPr>
              <w:widowControl/>
              <w:spacing w:line="240" w:lineRule="auto"/>
              <w:ind w:firstLine="0" w:firstLineChars="0"/>
              <w:jc w:val="center"/>
              <w:rPr>
                <w:highlight w:val="yellow"/>
                <w:lang w:bidi="ar"/>
              </w:rPr>
            </w:pPr>
            <w:r>
              <w:rPr>
                <w:lang w:bidi="ar"/>
              </w:rPr>
              <w:t>北京</w:t>
            </w:r>
          </w:p>
        </w:tc>
        <w:tc>
          <w:tcPr>
            <w:tcW w:w="3960" w:type="dxa"/>
            <w:vAlign w:val="center"/>
          </w:tcPr>
          <w:p w14:paraId="3DAD3AFA">
            <w:pPr>
              <w:spacing w:line="240" w:lineRule="auto"/>
              <w:ind w:firstLine="0" w:firstLineChars="0"/>
              <w:rPr>
                <w:color w:val="000000"/>
                <w:lang w:bidi="ar"/>
              </w:rPr>
            </w:pPr>
            <w:r>
              <w:rPr>
                <w:color w:val="000000"/>
                <w:lang w:bidi="ar"/>
              </w:rPr>
              <w:t>《有机化学品制造业大气污染物排放标准》</w:t>
            </w:r>
          </w:p>
        </w:tc>
        <w:tc>
          <w:tcPr>
            <w:tcW w:w="3260" w:type="dxa"/>
            <w:vAlign w:val="center"/>
          </w:tcPr>
          <w:p w14:paraId="6105A533">
            <w:pPr>
              <w:widowControl/>
              <w:spacing w:line="240" w:lineRule="auto"/>
              <w:ind w:firstLine="0" w:firstLineChars="0"/>
              <w:jc w:val="center"/>
              <w:rPr>
                <w:color w:val="000000"/>
                <w:lang w:bidi="ar"/>
              </w:rPr>
            </w:pPr>
            <w:r>
              <w:rPr>
                <w:color w:val="000000"/>
                <w:lang w:bidi="ar"/>
              </w:rPr>
              <w:t>有机化学品制造业</w:t>
            </w:r>
          </w:p>
        </w:tc>
        <w:tc>
          <w:tcPr>
            <w:tcW w:w="1276" w:type="dxa"/>
            <w:vAlign w:val="center"/>
          </w:tcPr>
          <w:p w14:paraId="4476A124">
            <w:pPr>
              <w:widowControl/>
              <w:spacing w:line="240" w:lineRule="auto"/>
              <w:ind w:firstLine="0" w:firstLineChars="0"/>
              <w:jc w:val="center"/>
              <w:rPr>
                <w:color w:val="000000"/>
                <w:lang w:bidi="ar"/>
              </w:rPr>
            </w:pPr>
            <w:r>
              <w:rPr>
                <w:color w:val="000000"/>
                <w:lang w:bidi="ar"/>
              </w:rPr>
              <w:t>DB11/1385-2017</w:t>
            </w:r>
          </w:p>
        </w:tc>
      </w:tr>
      <w:tr w14:paraId="616C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75450624">
            <w:pPr>
              <w:widowControl/>
              <w:spacing w:line="240" w:lineRule="auto"/>
              <w:ind w:firstLine="0" w:firstLineChars="0"/>
              <w:jc w:val="center"/>
              <w:rPr>
                <w:lang w:bidi="ar"/>
              </w:rPr>
            </w:pPr>
            <w:r>
              <w:rPr>
                <w:lang w:bidi="ar"/>
              </w:rPr>
              <w:t>天津</w:t>
            </w:r>
          </w:p>
        </w:tc>
        <w:tc>
          <w:tcPr>
            <w:tcW w:w="3960" w:type="dxa"/>
            <w:vAlign w:val="center"/>
          </w:tcPr>
          <w:p w14:paraId="6E44D56E">
            <w:pPr>
              <w:spacing w:line="240" w:lineRule="auto"/>
              <w:ind w:firstLine="0" w:firstLineChars="0"/>
              <w:rPr>
                <w:lang w:bidi="ar"/>
              </w:rPr>
            </w:pPr>
            <w:r>
              <w:rPr>
                <w:lang w:bidi="ar"/>
              </w:rPr>
              <w:t>《工业企业挥发性有机物排放控制标准》</w:t>
            </w:r>
          </w:p>
        </w:tc>
        <w:tc>
          <w:tcPr>
            <w:tcW w:w="3260" w:type="dxa"/>
            <w:vAlign w:val="center"/>
          </w:tcPr>
          <w:p w14:paraId="414E870E">
            <w:pPr>
              <w:spacing w:line="240" w:lineRule="auto"/>
              <w:ind w:firstLine="0" w:firstLineChars="0"/>
              <w:rPr>
                <w:lang w:bidi="ar"/>
              </w:rPr>
            </w:pPr>
            <w:r>
              <w:rPr>
                <w:lang w:bidi="ar"/>
              </w:rPr>
              <w:t>石油炼制与化学、医药制造、橡胶品涂料与油墨生产、塑料制品</w:t>
            </w:r>
            <w:r>
              <w:rPr>
                <w:rFonts w:hint="eastAsia"/>
                <w:lang w:bidi="ar"/>
              </w:rPr>
              <w:t>制</w:t>
            </w:r>
            <w:r>
              <w:rPr>
                <w:lang w:bidi="ar"/>
              </w:rPr>
              <w:t>造、电子工业汽车制与维修、印刷与包装家具制造、表面涂装黑色金属冶炼及其他行业</w:t>
            </w:r>
          </w:p>
        </w:tc>
        <w:tc>
          <w:tcPr>
            <w:tcW w:w="1276" w:type="dxa"/>
            <w:vAlign w:val="center"/>
          </w:tcPr>
          <w:p w14:paraId="4AA182B4">
            <w:pPr>
              <w:spacing w:line="240" w:lineRule="auto"/>
              <w:ind w:firstLine="0" w:firstLineChars="0"/>
              <w:jc w:val="center"/>
              <w:rPr>
                <w:lang w:bidi="ar"/>
              </w:rPr>
            </w:pPr>
            <w:r>
              <w:rPr>
                <w:lang w:bidi="ar"/>
              </w:rPr>
              <w:t>DB12/524-2014</w:t>
            </w:r>
          </w:p>
        </w:tc>
      </w:tr>
      <w:tr w14:paraId="2959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2CB33161">
            <w:pPr>
              <w:widowControl/>
              <w:spacing w:line="240" w:lineRule="auto"/>
              <w:ind w:firstLine="0" w:firstLineChars="0"/>
              <w:jc w:val="center"/>
              <w:rPr>
                <w:highlight w:val="yellow"/>
                <w:lang w:bidi="ar"/>
              </w:rPr>
            </w:pPr>
            <w:r>
              <w:rPr>
                <w:lang w:bidi="ar"/>
              </w:rPr>
              <w:t>江苏</w:t>
            </w:r>
          </w:p>
        </w:tc>
        <w:tc>
          <w:tcPr>
            <w:tcW w:w="3960" w:type="dxa"/>
            <w:vAlign w:val="center"/>
          </w:tcPr>
          <w:p w14:paraId="471B895D">
            <w:pPr>
              <w:spacing w:line="240" w:lineRule="auto"/>
              <w:ind w:firstLine="0" w:firstLineChars="0"/>
              <w:jc w:val="center"/>
              <w:rPr>
                <w:color w:val="000000"/>
                <w:lang w:bidi="ar"/>
              </w:rPr>
            </w:pPr>
            <w:r>
              <w:rPr>
                <w:color w:val="000000"/>
                <w:lang w:bidi="ar"/>
              </w:rPr>
              <w:t>《化学工业挥发性有机物排放标准》</w:t>
            </w:r>
          </w:p>
        </w:tc>
        <w:tc>
          <w:tcPr>
            <w:tcW w:w="3260" w:type="dxa"/>
            <w:vAlign w:val="center"/>
          </w:tcPr>
          <w:p w14:paraId="0D770A79">
            <w:pPr>
              <w:widowControl/>
              <w:spacing w:line="240" w:lineRule="auto"/>
              <w:ind w:firstLine="0" w:firstLineChars="0"/>
              <w:jc w:val="center"/>
              <w:rPr>
                <w:color w:val="000000"/>
                <w:lang w:bidi="ar"/>
              </w:rPr>
            </w:pPr>
            <w:r>
              <w:rPr>
                <w:color w:val="000000"/>
                <w:lang w:bidi="ar"/>
              </w:rPr>
              <w:t>化学工业</w:t>
            </w:r>
          </w:p>
        </w:tc>
        <w:tc>
          <w:tcPr>
            <w:tcW w:w="1276" w:type="dxa"/>
            <w:vAlign w:val="center"/>
          </w:tcPr>
          <w:p w14:paraId="21F13329">
            <w:pPr>
              <w:widowControl/>
              <w:spacing w:line="240" w:lineRule="auto"/>
              <w:ind w:firstLine="0" w:firstLineChars="0"/>
              <w:jc w:val="center"/>
              <w:rPr>
                <w:color w:val="000000"/>
                <w:lang w:bidi="ar"/>
              </w:rPr>
            </w:pPr>
            <w:r>
              <w:rPr>
                <w:color w:val="000000"/>
                <w:lang w:bidi="ar"/>
              </w:rPr>
              <w:t>DB32/3151-2016</w:t>
            </w:r>
          </w:p>
        </w:tc>
      </w:tr>
      <w:tr w14:paraId="6DCA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Merge w:val="restart"/>
            <w:vAlign w:val="center"/>
          </w:tcPr>
          <w:p w14:paraId="25EC991B">
            <w:pPr>
              <w:widowControl/>
              <w:spacing w:line="240" w:lineRule="auto"/>
              <w:ind w:firstLine="0" w:firstLineChars="0"/>
              <w:jc w:val="center"/>
              <w:rPr>
                <w:highlight w:val="yellow"/>
                <w:lang w:bidi="ar"/>
              </w:rPr>
            </w:pPr>
            <w:r>
              <w:rPr>
                <w:lang w:bidi="ar"/>
              </w:rPr>
              <w:t>浙江</w:t>
            </w:r>
          </w:p>
        </w:tc>
        <w:tc>
          <w:tcPr>
            <w:tcW w:w="3960" w:type="dxa"/>
            <w:vAlign w:val="center"/>
          </w:tcPr>
          <w:p w14:paraId="5474E8DC">
            <w:pPr>
              <w:spacing w:line="240" w:lineRule="auto"/>
              <w:ind w:firstLine="0" w:firstLineChars="0"/>
              <w:rPr>
                <w:color w:val="000000"/>
                <w:lang w:bidi="ar"/>
              </w:rPr>
            </w:pPr>
            <w:r>
              <w:t>《化学合成类制药工业大气污染物排放标准》</w:t>
            </w:r>
          </w:p>
        </w:tc>
        <w:tc>
          <w:tcPr>
            <w:tcW w:w="3260" w:type="dxa"/>
            <w:vAlign w:val="center"/>
          </w:tcPr>
          <w:p w14:paraId="286F1574">
            <w:pPr>
              <w:spacing w:line="240" w:lineRule="auto"/>
              <w:ind w:firstLine="0" w:firstLineChars="0"/>
              <w:jc w:val="center"/>
            </w:pPr>
            <w:r>
              <w:t>化学合成类制药工业</w:t>
            </w:r>
          </w:p>
        </w:tc>
        <w:tc>
          <w:tcPr>
            <w:tcW w:w="1276" w:type="dxa"/>
            <w:vAlign w:val="center"/>
          </w:tcPr>
          <w:p w14:paraId="1D0706C9">
            <w:pPr>
              <w:spacing w:line="240" w:lineRule="auto"/>
              <w:ind w:firstLine="0" w:firstLineChars="0"/>
              <w:jc w:val="center"/>
              <w:rPr>
                <w:color w:val="000000"/>
                <w:lang w:bidi="ar"/>
              </w:rPr>
            </w:pPr>
            <w:r>
              <w:t>DB33/2015-2016</w:t>
            </w:r>
          </w:p>
        </w:tc>
      </w:tr>
      <w:tr w14:paraId="3443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Merge w:val="continue"/>
            <w:vAlign w:val="center"/>
          </w:tcPr>
          <w:p w14:paraId="467EFDDE">
            <w:pPr>
              <w:widowControl/>
              <w:spacing w:line="240" w:lineRule="auto"/>
              <w:ind w:firstLine="0" w:firstLineChars="0"/>
              <w:jc w:val="center"/>
              <w:rPr>
                <w:lang w:bidi="ar"/>
              </w:rPr>
            </w:pPr>
          </w:p>
        </w:tc>
        <w:tc>
          <w:tcPr>
            <w:tcW w:w="3960" w:type="dxa"/>
            <w:vAlign w:val="center"/>
          </w:tcPr>
          <w:p w14:paraId="24A16627">
            <w:pPr>
              <w:spacing w:line="240" w:lineRule="auto"/>
              <w:ind w:firstLine="0" w:firstLineChars="0"/>
            </w:pPr>
            <w:r>
              <w:t>浙江省精细化工行业挥发性有机物污染防治可行技术指南</w:t>
            </w:r>
          </w:p>
        </w:tc>
        <w:tc>
          <w:tcPr>
            <w:tcW w:w="3260" w:type="dxa"/>
            <w:vAlign w:val="center"/>
          </w:tcPr>
          <w:p w14:paraId="33D82A49">
            <w:pPr>
              <w:widowControl/>
              <w:spacing w:line="240" w:lineRule="auto"/>
              <w:ind w:firstLine="0" w:firstLineChars="0"/>
              <w:jc w:val="center"/>
              <w:rPr>
                <w:color w:val="000000"/>
                <w:lang w:bidi="ar"/>
              </w:rPr>
            </w:pPr>
            <w:r>
              <w:t>精细化工</w:t>
            </w:r>
          </w:p>
        </w:tc>
        <w:tc>
          <w:tcPr>
            <w:tcW w:w="1276" w:type="dxa"/>
            <w:vAlign w:val="center"/>
          </w:tcPr>
          <w:p w14:paraId="2034A1E6">
            <w:pPr>
              <w:widowControl/>
              <w:spacing w:line="240" w:lineRule="auto"/>
              <w:ind w:firstLine="0" w:firstLineChars="0"/>
              <w:jc w:val="center"/>
              <w:rPr>
                <w:color w:val="000000"/>
                <w:lang w:bidi="ar"/>
              </w:rPr>
            </w:pPr>
          </w:p>
        </w:tc>
      </w:tr>
      <w:tr w14:paraId="7382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35544D26">
            <w:pPr>
              <w:widowControl/>
              <w:spacing w:line="240" w:lineRule="auto"/>
              <w:ind w:firstLine="0" w:firstLineChars="0"/>
              <w:jc w:val="center"/>
              <w:rPr>
                <w:highlight w:val="yellow"/>
                <w:lang w:bidi="ar"/>
              </w:rPr>
            </w:pPr>
            <w:r>
              <w:rPr>
                <w:lang w:bidi="ar"/>
              </w:rPr>
              <w:t>山东</w:t>
            </w:r>
          </w:p>
        </w:tc>
        <w:tc>
          <w:tcPr>
            <w:tcW w:w="3960" w:type="dxa"/>
            <w:vAlign w:val="center"/>
          </w:tcPr>
          <w:p w14:paraId="13CCA9CD">
            <w:pPr>
              <w:spacing w:line="240" w:lineRule="auto"/>
              <w:ind w:firstLine="0" w:firstLineChars="0"/>
              <w:rPr>
                <w:color w:val="000000"/>
                <w:lang w:bidi="ar"/>
              </w:rPr>
            </w:pPr>
            <w:r>
              <w:t>《</w:t>
            </w:r>
            <w:r>
              <w:rPr>
                <w:color w:val="000000"/>
                <w:lang w:bidi="ar"/>
              </w:rPr>
              <w:t>挥发性有机物排放标准</w:t>
            </w:r>
            <w:r>
              <w:rPr>
                <w:rFonts w:hint="eastAsia"/>
                <w:color w:val="000000"/>
                <w:lang w:bidi="ar"/>
              </w:rPr>
              <w:t xml:space="preserve"> </w:t>
            </w:r>
            <w:r>
              <w:rPr>
                <w:color w:val="000000"/>
                <w:lang w:bidi="ar"/>
              </w:rPr>
              <w:t>第6部分：有机化工行业</w:t>
            </w:r>
            <w:r>
              <w:t>》</w:t>
            </w:r>
          </w:p>
        </w:tc>
        <w:tc>
          <w:tcPr>
            <w:tcW w:w="3260" w:type="dxa"/>
            <w:vAlign w:val="center"/>
          </w:tcPr>
          <w:p w14:paraId="37FEBBF4">
            <w:pPr>
              <w:widowControl/>
              <w:spacing w:line="240" w:lineRule="auto"/>
              <w:ind w:firstLine="0" w:firstLineChars="0"/>
              <w:jc w:val="center"/>
              <w:rPr>
                <w:color w:val="000000"/>
                <w:lang w:bidi="ar"/>
              </w:rPr>
            </w:pPr>
            <w:r>
              <w:rPr>
                <w:color w:val="000000"/>
                <w:lang w:bidi="ar"/>
              </w:rPr>
              <w:t>有机化工行业</w:t>
            </w:r>
          </w:p>
        </w:tc>
        <w:tc>
          <w:tcPr>
            <w:tcW w:w="1276" w:type="dxa"/>
            <w:vAlign w:val="center"/>
          </w:tcPr>
          <w:p w14:paraId="69A4E936">
            <w:pPr>
              <w:widowControl/>
              <w:spacing w:line="240" w:lineRule="auto"/>
              <w:ind w:firstLine="0" w:firstLineChars="0"/>
              <w:jc w:val="center"/>
              <w:rPr>
                <w:color w:val="000000"/>
                <w:lang w:bidi="ar"/>
              </w:rPr>
            </w:pPr>
            <w:r>
              <w:rPr>
                <w:color w:val="000000"/>
                <w:lang w:bidi="ar"/>
              </w:rPr>
              <w:t>DB 37/ 2801.6</w:t>
            </w:r>
          </w:p>
        </w:tc>
      </w:tr>
      <w:tr w14:paraId="104A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2D9AA2C8">
            <w:pPr>
              <w:widowControl/>
              <w:spacing w:line="240" w:lineRule="auto"/>
              <w:ind w:firstLine="0" w:firstLineChars="0"/>
              <w:jc w:val="center"/>
              <w:rPr>
                <w:b/>
                <w:highlight w:val="yellow"/>
                <w:lang w:bidi="ar"/>
              </w:rPr>
            </w:pPr>
            <w:r>
              <w:rPr>
                <w:lang w:bidi="ar"/>
              </w:rPr>
              <w:t>河北</w:t>
            </w:r>
          </w:p>
        </w:tc>
        <w:tc>
          <w:tcPr>
            <w:tcW w:w="3960" w:type="dxa"/>
            <w:vAlign w:val="center"/>
          </w:tcPr>
          <w:p w14:paraId="26B3D751">
            <w:pPr>
              <w:widowControl/>
              <w:spacing w:line="240" w:lineRule="auto"/>
              <w:ind w:firstLine="0" w:firstLineChars="0"/>
              <w:rPr>
                <w:color w:val="000000"/>
                <w:lang w:bidi="ar"/>
              </w:rPr>
            </w:pPr>
            <w:r>
              <w:t>《工业企业挥发性有机物排放控制标准》</w:t>
            </w:r>
          </w:p>
        </w:tc>
        <w:tc>
          <w:tcPr>
            <w:tcW w:w="3260" w:type="dxa"/>
            <w:vAlign w:val="center"/>
          </w:tcPr>
          <w:p w14:paraId="1E712A76">
            <w:pPr>
              <w:widowControl/>
              <w:spacing w:line="240" w:lineRule="auto"/>
              <w:ind w:firstLine="0" w:firstLineChars="0"/>
            </w:pPr>
            <w:r>
              <w:t>医药制造行业、石油炼工业、石油化学工有机工业、炼焦钢铁冶和压延加工业、木材业、家具制造交通运输设备制造业、表面涂装业、印刷工业及其他行业</w:t>
            </w:r>
          </w:p>
        </w:tc>
        <w:tc>
          <w:tcPr>
            <w:tcW w:w="1276" w:type="dxa"/>
            <w:vAlign w:val="center"/>
          </w:tcPr>
          <w:p w14:paraId="70317617">
            <w:pPr>
              <w:widowControl/>
              <w:spacing w:line="240" w:lineRule="auto"/>
              <w:ind w:firstLine="0" w:firstLineChars="0"/>
              <w:jc w:val="center"/>
              <w:rPr>
                <w:color w:val="000000"/>
                <w:lang w:bidi="ar"/>
              </w:rPr>
            </w:pPr>
            <w:r>
              <w:t>DB13/2322-2016</w:t>
            </w:r>
          </w:p>
        </w:tc>
      </w:tr>
      <w:tr w14:paraId="28B7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4E96BF84">
            <w:pPr>
              <w:widowControl/>
              <w:spacing w:line="240" w:lineRule="auto"/>
              <w:ind w:firstLine="0" w:firstLineChars="0"/>
              <w:jc w:val="center"/>
              <w:rPr>
                <w:lang w:bidi="ar"/>
              </w:rPr>
            </w:pPr>
            <w:r>
              <w:rPr>
                <w:lang w:bidi="ar"/>
              </w:rPr>
              <w:t>陕西</w:t>
            </w:r>
          </w:p>
        </w:tc>
        <w:tc>
          <w:tcPr>
            <w:tcW w:w="3960" w:type="dxa"/>
            <w:vAlign w:val="center"/>
          </w:tcPr>
          <w:p w14:paraId="3EE70622">
            <w:pPr>
              <w:widowControl/>
              <w:spacing w:line="240" w:lineRule="auto"/>
              <w:ind w:firstLine="0" w:firstLineChars="0"/>
              <w:jc w:val="center"/>
              <w:rPr>
                <w:color w:val="000000"/>
                <w:lang w:bidi="ar"/>
              </w:rPr>
            </w:pPr>
            <w:r>
              <w:t>《挥发性有机物排放控制标准》</w:t>
            </w:r>
          </w:p>
        </w:tc>
        <w:tc>
          <w:tcPr>
            <w:tcW w:w="3260" w:type="dxa"/>
            <w:vAlign w:val="center"/>
          </w:tcPr>
          <w:p w14:paraId="527728B7">
            <w:pPr>
              <w:widowControl/>
              <w:spacing w:line="240" w:lineRule="auto"/>
              <w:ind w:firstLine="0" w:firstLineChars="0"/>
            </w:pPr>
            <w:r>
              <w:t>汽车整车制造、印刷、木制家具制造、医药制造、电子产品制造、涂料与油墨及类似产品制造、橡胶制品制造、表面涂装</w:t>
            </w:r>
          </w:p>
        </w:tc>
        <w:tc>
          <w:tcPr>
            <w:tcW w:w="1276" w:type="dxa"/>
            <w:vAlign w:val="center"/>
          </w:tcPr>
          <w:p w14:paraId="4A13664F">
            <w:pPr>
              <w:widowControl/>
              <w:spacing w:line="240" w:lineRule="auto"/>
              <w:ind w:firstLine="0" w:firstLineChars="0"/>
              <w:jc w:val="center"/>
              <w:rPr>
                <w:color w:val="000000"/>
                <w:lang w:bidi="ar"/>
              </w:rPr>
            </w:pPr>
            <w:r>
              <w:t>DB61/T1061-2017</w:t>
            </w:r>
          </w:p>
        </w:tc>
      </w:tr>
      <w:tr w14:paraId="5A87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095A859F">
            <w:pPr>
              <w:widowControl/>
              <w:spacing w:line="240" w:lineRule="auto"/>
              <w:ind w:firstLine="0" w:firstLineChars="0"/>
              <w:jc w:val="center"/>
              <w:rPr>
                <w:lang w:bidi="ar"/>
              </w:rPr>
            </w:pPr>
            <w:r>
              <w:rPr>
                <w:lang w:bidi="ar"/>
              </w:rPr>
              <w:t>四川</w:t>
            </w:r>
          </w:p>
        </w:tc>
        <w:tc>
          <w:tcPr>
            <w:tcW w:w="3960" w:type="dxa"/>
            <w:vAlign w:val="center"/>
          </w:tcPr>
          <w:p w14:paraId="79BA10BF">
            <w:pPr>
              <w:widowControl/>
              <w:spacing w:line="240" w:lineRule="auto"/>
              <w:ind w:firstLine="0" w:firstLineChars="0"/>
              <w:rPr>
                <w:b/>
                <w:color w:val="000000"/>
                <w:lang w:bidi="ar"/>
              </w:rPr>
            </w:pPr>
            <w:r>
              <w:t>《固定污染源大气挥发性有机物排放标准》</w:t>
            </w:r>
          </w:p>
        </w:tc>
        <w:tc>
          <w:tcPr>
            <w:tcW w:w="3260" w:type="dxa"/>
            <w:vAlign w:val="center"/>
          </w:tcPr>
          <w:p w14:paraId="1D6FB0CC">
            <w:pPr>
              <w:widowControl/>
              <w:spacing w:line="240" w:lineRule="auto"/>
              <w:ind w:firstLine="0" w:firstLineChars="0"/>
              <w:jc w:val="center"/>
            </w:pPr>
            <w:r>
              <w:t>固定污染源</w:t>
            </w:r>
          </w:p>
        </w:tc>
        <w:tc>
          <w:tcPr>
            <w:tcW w:w="1276" w:type="dxa"/>
            <w:vAlign w:val="center"/>
          </w:tcPr>
          <w:p w14:paraId="5C51B959">
            <w:pPr>
              <w:widowControl/>
              <w:spacing w:line="240" w:lineRule="auto"/>
              <w:ind w:firstLine="0" w:firstLineChars="0"/>
              <w:jc w:val="center"/>
              <w:rPr>
                <w:b/>
                <w:color w:val="000000"/>
                <w:lang w:bidi="ar"/>
              </w:rPr>
            </w:pPr>
            <w:r>
              <w:t>DB51/2377-2017</w:t>
            </w:r>
          </w:p>
        </w:tc>
      </w:tr>
      <w:tr w14:paraId="59FC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9" w:type="dxa"/>
            <w:vAlign w:val="center"/>
          </w:tcPr>
          <w:p w14:paraId="39713763">
            <w:pPr>
              <w:widowControl/>
              <w:spacing w:line="240" w:lineRule="auto"/>
              <w:ind w:firstLine="0" w:firstLineChars="0"/>
              <w:jc w:val="center"/>
              <w:rPr>
                <w:lang w:bidi="ar"/>
              </w:rPr>
            </w:pPr>
            <w:r>
              <w:rPr>
                <w:lang w:bidi="ar"/>
              </w:rPr>
              <w:t>江西</w:t>
            </w:r>
          </w:p>
        </w:tc>
        <w:tc>
          <w:tcPr>
            <w:tcW w:w="3960" w:type="dxa"/>
            <w:vAlign w:val="center"/>
          </w:tcPr>
          <w:p w14:paraId="198012BF">
            <w:pPr>
              <w:widowControl/>
              <w:spacing w:line="240" w:lineRule="auto"/>
              <w:ind w:firstLine="0" w:firstLineChars="0"/>
            </w:pPr>
            <w:r>
              <w:t>《挥发性有机物排放标准 第2部分：有机化工行业》</w:t>
            </w:r>
          </w:p>
        </w:tc>
        <w:tc>
          <w:tcPr>
            <w:tcW w:w="3260" w:type="dxa"/>
            <w:vAlign w:val="center"/>
          </w:tcPr>
          <w:p w14:paraId="26BEDC21">
            <w:pPr>
              <w:widowControl/>
              <w:spacing w:line="240" w:lineRule="auto"/>
              <w:ind w:firstLine="0" w:firstLineChars="0"/>
              <w:jc w:val="center"/>
            </w:pPr>
            <w:r>
              <w:t>有机化工行业</w:t>
            </w:r>
          </w:p>
        </w:tc>
        <w:tc>
          <w:tcPr>
            <w:tcW w:w="1276" w:type="dxa"/>
            <w:vAlign w:val="center"/>
          </w:tcPr>
          <w:p w14:paraId="5971998B">
            <w:pPr>
              <w:widowControl/>
              <w:spacing w:line="240" w:lineRule="auto"/>
              <w:ind w:firstLine="0" w:firstLineChars="0"/>
              <w:jc w:val="center"/>
            </w:pPr>
            <w:r>
              <w:t>DB36/1101.2-2019</w:t>
            </w:r>
          </w:p>
        </w:tc>
      </w:tr>
      <w:bookmarkEnd w:id="84"/>
      <w:bookmarkEnd w:id="85"/>
      <w:bookmarkEnd w:id="86"/>
    </w:tbl>
    <w:p w14:paraId="74D97B4C">
      <w:pPr>
        <w:ind w:firstLine="480"/>
        <w:jc w:val="center"/>
      </w:pPr>
      <w:bookmarkStart w:id="92" w:name="_Toc525723221"/>
      <w:bookmarkStart w:id="93" w:name="_Toc523001170"/>
      <w:r>
        <w:br w:type="page"/>
      </w:r>
    </w:p>
    <w:bookmarkEnd w:id="92"/>
    <w:bookmarkEnd w:id="93"/>
    <w:p w14:paraId="5529DBDA">
      <w:pPr>
        <w:pStyle w:val="3"/>
        <w:rPr>
          <w:rFonts w:eastAsia="仿宋"/>
        </w:rPr>
      </w:pPr>
      <w:bookmarkStart w:id="94" w:name="_Toc1222"/>
      <w:bookmarkStart w:id="95" w:name="_Toc159926932"/>
      <w:bookmarkStart w:id="96" w:name="_Toc16022"/>
      <w:bookmarkStart w:id="97" w:name="_Toc20678"/>
      <w:bookmarkStart w:id="98" w:name="_Toc525723231"/>
      <w:r>
        <w:rPr>
          <w:rFonts w:eastAsia="仿宋"/>
        </w:rPr>
        <w:t>5 标准编制总体思路及技术路线</w:t>
      </w:r>
      <w:bookmarkEnd w:id="94"/>
      <w:bookmarkEnd w:id="95"/>
      <w:bookmarkEnd w:id="96"/>
      <w:bookmarkEnd w:id="97"/>
    </w:p>
    <w:p w14:paraId="6E502939">
      <w:pPr>
        <w:pStyle w:val="4"/>
        <w:spacing w:before="0" w:after="0"/>
        <w:rPr>
          <w:rFonts w:ascii="Times New Roman" w:hAnsi="Times New Roman"/>
        </w:rPr>
      </w:pPr>
      <w:bookmarkStart w:id="99" w:name="_Toc5825"/>
      <w:bookmarkStart w:id="100" w:name="_Toc159926933"/>
      <w:bookmarkStart w:id="101" w:name="_Toc16959"/>
      <w:r>
        <w:rPr>
          <w:rFonts w:ascii="Times New Roman" w:hAnsi="Times New Roman"/>
        </w:rPr>
        <w:t>5.1 标准编制总体思路</w:t>
      </w:r>
      <w:bookmarkEnd w:id="99"/>
      <w:bookmarkEnd w:id="100"/>
      <w:bookmarkEnd w:id="101"/>
    </w:p>
    <w:p w14:paraId="7A79EE94">
      <w:pPr>
        <w:ind w:firstLine="480"/>
        <w:rPr>
          <w:szCs w:val="24"/>
          <w:lang w:bidi="ar"/>
        </w:rPr>
      </w:pPr>
      <w:r>
        <w:rPr>
          <w:szCs w:val="24"/>
          <w:lang w:bidi="ar"/>
        </w:rPr>
        <w:t>按照</w:t>
      </w:r>
      <w:r>
        <w:rPr>
          <w:szCs w:val="24"/>
          <w:shd w:val="clear" w:color="auto" w:fill="FFFFFF"/>
          <w:lang w:bidi="ar"/>
        </w:rPr>
        <w:t>《中华人民共和国标准化法》</w:t>
      </w:r>
      <w:r>
        <w:rPr>
          <w:szCs w:val="24"/>
          <w:lang w:bidi="ar"/>
        </w:rPr>
        <w:t>、《江西省标准化条例》等文件的要求，通过现场调研、大量企业数据填报分析、文献资料研究、实验测试等多种方式，掌握我省有机化工行业原辅材料VOCs种类、排放情况、污染情况以及控制技术措施等。</w:t>
      </w:r>
    </w:p>
    <w:p w14:paraId="7CA8DA06">
      <w:pPr>
        <w:ind w:firstLine="480"/>
        <w:rPr>
          <w:color w:val="000000"/>
          <w:szCs w:val="24"/>
          <w:lang w:bidi="ar"/>
        </w:rPr>
      </w:pPr>
      <w:r>
        <w:rPr>
          <w:color w:val="000000"/>
          <w:szCs w:val="24"/>
          <w:lang w:bidi="ar"/>
        </w:rPr>
        <w:t>通过充分研究国家及各省有机化工行业挥发性有机物污染防治技术要求，参照国内外污染控制经验和技术，并结合当前我省“十四五”大气环境质量管控要求以及我省有机化工行业挥发性有机物污染控制现状，根据座谈会、评审会等专家提出的意见以及有关单位的反馈意见，在符合国家相关法律和法规的基础上，编制完成《挥发性有机物污染防治技术指南（试行）第2部分：有机化工行业》文本和编制说明。</w:t>
      </w:r>
      <w:bookmarkStart w:id="102" w:name="_Toc12009"/>
      <w:bookmarkStart w:id="103" w:name="_Toc21805"/>
    </w:p>
    <w:p w14:paraId="6A9FFEE4">
      <w:pPr>
        <w:pStyle w:val="4"/>
        <w:spacing w:before="0" w:after="0"/>
        <w:rPr>
          <w:rFonts w:ascii="Times New Roman" w:hAnsi="Times New Roman"/>
        </w:rPr>
      </w:pPr>
      <w:bookmarkStart w:id="104" w:name="_Toc159926934"/>
      <w:r>
        <w:rPr>
          <w:rFonts w:ascii="Times New Roman" w:hAnsi="Times New Roman"/>
        </w:rPr>
        <w:t>5.2 标准制定原则</w:t>
      </w:r>
      <w:bookmarkEnd w:id="102"/>
      <w:bookmarkEnd w:id="103"/>
      <w:bookmarkEnd w:id="104"/>
    </w:p>
    <w:p w14:paraId="11BBA500">
      <w:pPr>
        <w:ind w:firstLine="480"/>
        <w:rPr>
          <w:lang w:bidi="ar"/>
        </w:rPr>
      </w:pPr>
      <w:r>
        <w:rPr>
          <w:lang w:bidi="ar"/>
        </w:rPr>
        <w:t>（1）政策相符性</w:t>
      </w:r>
    </w:p>
    <w:p w14:paraId="77A42A28">
      <w:pPr>
        <w:ind w:firstLine="480"/>
        <w:rPr>
          <w:lang w:bidi="ar"/>
        </w:rPr>
      </w:pPr>
      <w:r>
        <w:rPr>
          <w:lang w:bidi="ar"/>
        </w:rPr>
        <w:t>明确标准适用范围，以规范全省有机化工行业VOCs的污染防治，以有效控制挥发性有机物污染为首要任务，严格遵循国家在政策法律法规等方面发布的技术政策。通过技术指南的实施，为挥发性有机污染物防治提供技术支撑，从而实现空气质量的改善，保障人民群众身体健康。</w:t>
      </w:r>
    </w:p>
    <w:p w14:paraId="22738399">
      <w:pPr>
        <w:ind w:firstLine="480"/>
        <w:rPr>
          <w:lang w:bidi="ar"/>
        </w:rPr>
      </w:pPr>
      <w:r>
        <w:rPr>
          <w:lang w:bidi="ar"/>
        </w:rPr>
        <w:t>（2）全面性</w:t>
      </w:r>
    </w:p>
    <w:p w14:paraId="368B0837">
      <w:pPr>
        <w:ind w:firstLine="480"/>
        <w:rPr>
          <w:lang w:bidi="ar"/>
        </w:rPr>
      </w:pPr>
      <w:r>
        <w:rPr>
          <w:lang w:bidi="ar"/>
        </w:rPr>
        <w:t>本标准有机化工各个行业，有机化工企业的原辅材料、涂装工艺及设备选择、过程管理、溶剂运输储存、末端污染防治技术和企业环境管理要求等。</w:t>
      </w:r>
    </w:p>
    <w:p w14:paraId="196774D2">
      <w:pPr>
        <w:ind w:firstLine="480"/>
        <w:rPr>
          <w:lang w:bidi="ar"/>
        </w:rPr>
      </w:pPr>
      <w:r>
        <w:rPr>
          <w:lang w:bidi="ar"/>
        </w:rPr>
        <w:t>（3）实用与经济可行性相结合</w:t>
      </w:r>
    </w:p>
    <w:p w14:paraId="19BAEF8F">
      <w:pPr>
        <w:ind w:firstLine="480"/>
        <w:rPr>
          <w:lang w:bidi="ar"/>
        </w:rPr>
      </w:pPr>
      <w:r>
        <w:rPr>
          <w:lang w:bidi="ar"/>
        </w:rPr>
        <w:t>在充分调研国内外VOCs污染防治技术的基础上，借鉴各省份发布实施的技术政策，结合我省实际状况，通过对典型行业的调研，充分考量当前和未来技术水平和经济条件，充分考虑挥发性有机污染物的控制水平、成本和管理水平，确定有机化工行业的技术指南</w:t>
      </w:r>
    </w:p>
    <w:p w14:paraId="4C1485F2">
      <w:pPr>
        <w:ind w:firstLine="480"/>
        <w:rPr>
          <w:lang w:bidi="ar"/>
        </w:rPr>
      </w:pPr>
      <w:r>
        <w:rPr>
          <w:lang w:bidi="ar"/>
        </w:rPr>
        <w:t>（4）客观公正性</w:t>
      </w:r>
    </w:p>
    <w:p w14:paraId="391CB950">
      <w:pPr>
        <w:ind w:firstLine="480"/>
        <w:rPr>
          <w:lang w:bidi="ar"/>
        </w:rPr>
      </w:pPr>
      <w:r>
        <w:rPr>
          <w:lang w:bidi="ar"/>
        </w:rPr>
        <w:t>本标准编制过程严格按照《中华人民共和国标准化法》、《江西省标准化条例》等文件要求执行，遵循公开、公平、公正的原则。</w:t>
      </w:r>
    </w:p>
    <w:p w14:paraId="21CDFF1E">
      <w:pPr>
        <w:pStyle w:val="4"/>
        <w:spacing w:before="0" w:after="0"/>
        <w:rPr>
          <w:rFonts w:ascii="Times New Roman" w:hAnsi="Times New Roman"/>
        </w:rPr>
      </w:pPr>
      <w:bookmarkStart w:id="105" w:name="_Toc159926935"/>
      <w:bookmarkStart w:id="106" w:name="_Toc131"/>
      <w:bookmarkStart w:id="107" w:name="_Toc10665"/>
      <w:r>
        <w:rPr>
          <w:rFonts w:ascii="Times New Roman" w:hAnsi="Times New Roman"/>
        </w:rPr>
        <w:t>5.3 标准编制技术路线</w:t>
      </w:r>
      <w:bookmarkEnd w:id="105"/>
      <w:bookmarkEnd w:id="106"/>
      <w:bookmarkEnd w:id="107"/>
    </w:p>
    <w:p w14:paraId="443B1235">
      <w:pPr>
        <w:ind w:firstLine="480"/>
        <w:rPr>
          <w:szCs w:val="32"/>
        </w:rPr>
      </w:pPr>
      <w:r>
        <w:rPr>
          <w:szCs w:val="32"/>
        </w:rPr>
        <w:t>本技术指南的研究路线见下图5.3-1。</w:t>
      </w:r>
    </w:p>
    <w:p w14:paraId="045C6AD2">
      <w:pPr>
        <w:ind w:firstLine="0" w:firstLineChars="0"/>
        <w:rPr>
          <w:szCs w:val="32"/>
        </w:rPr>
      </w:pPr>
      <w:r>
        <w:drawing>
          <wp:inline distT="0" distB="0" distL="0" distR="0">
            <wp:extent cx="5551805" cy="60039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51805" cy="6004543"/>
                    </a:xfrm>
                    <a:prstGeom prst="rect">
                      <a:avLst/>
                    </a:prstGeom>
                    <a:noFill/>
                    <a:ln>
                      <a:noFill/>
                    </a:ln>
                  </pic:spPr>
                </pic:pic>
              </a:graphicData>
            </a:graphic>
          </wp:inline>
        </w:drawing>
      </w:r>
    </w:p>
    <w:p w14:paraId="0AC26A95">
      <w:pPr>
        <w:ind w:firstLine="482"/>
        <w:jc w:val="center"/>
        <w:rPr>
          <w:b/>
          <w:lang w:bidi="ar"/>
        </w:rPr>
      </w:pPr>
      <w:r>
        <w:rPr>
          <w:b/>
          <w:lang w:bidi="ar"/>
        </w:rPr>
        <w:t>图5.3-1</w:t>
      </w:r>
      <w:r>
        <w:rPr>
          <w:rFonts w:hint="eastAsia"/>
          <w:b/>
          <w:lang w:bidi="ar"/>
        </w:rPr>
        <w:t xml:space="preserve">  </w:t>
      </w:r>
      <w:r>
        <w:rPr>
          <w:b/>
          <w:lang w:bidi="ar"/>
        </w:rPr>
        <w:t>技术路线图</w:t>
      </w:r>
      <w:r>
        <w:rPr>
          <w:b/>
          <w:lang w:bidi="ar"/>
        </w:rPr>
        <w:br w:type="page"/>
      </w:r>
    </w:p>
    <w:p w14:paraId="157975EA">
      <w:pPr>
        <w:keepNext/>
        <w:keepLines/>
        <w:spacing w:line="240" w:lineRule="atLeast"/>
        <w:ind w:firstLine="482"/>
        <w:jc w:val="center"/>
        <w:rPr>
          <w:b/>
          <w:bCs/>
          <w:lang w:bidi="ar"/>
        </w:rPr>
      </w:pPr>
    </w:p>
    <w:p w14:paraId="0DDB2BBF">
      <w:pPr>
        <w:pStyle w:val="3"/>
        <w:rPr>
          <w:rFonts w:eastAsia="仿宋"/>
          <w:color w:val="FF0000"/>
        </w:rPr>
      </w:pPr>
      <w:bookmarkStart w:id="108" w:name="_Toc159926936"/>
      <w:bookmarkStart w:id="109" w:name="_Toc16416"/>
      <w:bookmarkStart w:id="110" w:name="_Toc16295"/>
      <w:bookmarkStart w:id="111" w:name="_Toc23837"/>
      <w:r>
        <w:rPr>
          <w:rFonts w:eastAsia="仿宋"/>
        </w:rPr>
        <w:t>6 标准主要技术内容</w:t>
      </w:r>
      <w:bookmarkEnd w:id="98"/>
      <w:bookmarkEnd w:id="108"/>
      <w:bookmarkEnd w:id="109"/>
      <w:bookmarkEnd w:id="110"/>
      <w:bookmarkEnd w:id="111"/>
    </w:p>
    <w:p w14:paraId="599622D2">
      <w:pPr>
        <w:pStyle w:val="4"/>
        <w:spacing w:before="0" w:after="0"/>
        <w:rPr>
          <w:rFonts w:ascii="Times New Roman" w:hAnsi="Times New Roman"/>
        </w:rPr>
      </w:pPr>
      <w:bookmarkStart w:id="112" w:name="_Toc19909"/>
      <w:bookmarkStart w:id="113" w:name="_Toc13382"/>
      <w:bookmarkStart w:id="114" w:name="_Toc159926937"/>
      <w:bookmarkStart w:id="115" w:name="_Toc8183"/>
      <w:bookmarkStart w:id="116" w:name="_Toc525723232"/>
      <w:r>
        <w:rPr>
          <w:rFonts w:ascii="Times New Roman" w:hAnsi="Times New Roman"/>
        </w:rPr>
        <w:t>6.1 适用范围</w:t>
      </w:r>
      <w:bookmarkEnd w:id="112"/>
      <w:bookmarkEnd w:id="113"/>
      <w:bookmarkEnd w:id="114"/>
      <w:bookmarkEnd w:id="115"/>
      <w:bookmarkEnd w:id="116"/>
    </w:p>
    <w:p w14:paraId="42434DE2">
      <w:pPr>
        <w:ind w:firstLine="480"/>
        <w:rPr>
          <w:color w:val="000000"/>
          <w:szCs w:val="28"/>
        </w:rPr>
      </w:pPr>
      <w:r>
        <w:rPr>
          <w:color w:val="000000"/>
          <w:szCs w:val="28"/>
        </w:rPr>
        <w:t>本指南主要适用于有机化工行业，主要包括《国民经济行业分类》（GB/T4754-2017）中：</w:t>
      </w:r>
      <w:r>
        <w:rPr>
          <w:szCs w:val="28"/>
        </w:rPr>
        <w:t>C</w:t>
      </w:r>
      <w:r>
        <w:rPr>
          <w:color w:val="000000"/>
          <w:szCs w:val="28"/>
        </w:rPr>
        <w:t>2</w:t>
      </w:r>
      <w:r>
        <w:rPr>
          <w:szCs w:val="28"/>
        </w:rPr>
        <w:t>614有机化学原料制造、C2619其他基础化学原料制造（不含无机化学类原料制造）、C263农药制造、C2641涂料制造、C2645染料制造、C2646密封用填料及类似品制造、C265合成材料制造、C266专用化学产品制造（不含无机化学品制造）和C268日用化学产品制造。</w:t>
      </w:r>
      <w:r>
        <w:rPr>
          <w:rFonts w:hint="eastAsia"/>
        </w:rPr>
        <w:t>其它行业涉及有机化工工序的可参照执行。</w:t>
      </w:r>
    </w:p>
    <w:p w14:paraId="31A02C64">
      <w:pPr>
        <w:pStyle w:val="4"/>
        <w:spacing w:before="0" w:after="0"/>
        <w:rPr>
          <w:rFonts w:ascii="Times New Roman" w:hAnsi="Times New Roman"/>
        </w:rPr>
      </w:pPr>
      <w:bookmarkStart w:id="117" w:name="_Toc14571"/>
      <w:bookmarkStart w:id="118" w:name="_Toc16937"/>
      <w:bookmarkStart w:id="119" w:name="_Toc525723233"/>
      <w:bookmarkStart w:id="120" w:name="_Toc16962"/>
      <w:bookmarkStart w:id="121" w:name="_Toc159926938"/>
      <w:r>
        <w:rPr>
          <w:rFonts w:ascii="Times New Roman" w:hAnsi="Times New Roman"/>
        </w:rPr>
        <w:t>6.2</w:t>
      </w:r>
      <w:bookmarkEnd w:id="117"/>
      <w:bookmarkEnd w:id="118"/>
      <w:bookmarkEnd w:id="119"/>
      <w:bookmarkEnd w:id="120"/>
      <w:bookmarkStart w:id="122" w:name="_Toc525723234"/>
      <w:bookmarkStart w:id="123" w:name="_Toc31839"/>
      <w:bookmarkStart w:id="124" w:name="_Toc20620"/>
      <w:bookmarkStart w:id="125" w:name="_Toc7091"/>
      <w:r>
        <w:rPr>
          <w:rFonts w:ascii="Times New Roman" w:hAnsi="Times New Roman"/>
        </w:rPr>
        <w:t xml:space="preserve"> 术语和定义</w:t>
      </w:r>
      <w:bookmarkEnd w:id="121"/>
      <w:bookmarkEnd w:id="122"/>
      <w:bookmarkEnd w:id="123"/>
      <w:bookmarkEnd w:id="124"/>
      <w:bookmarkEnd w:id="125"/>
    </w:p>
    <w:p w14:paraId="268923A7">
      <w:pPr>
        <w:ind w:firstLine="480"/>
        <w:rPr>
          <w:szCs w:val="28"/>
        </w:rPr>
      </w:pPr>
      <w:r>
        <w:rPr>
          <w:szCs w:val="28"/>
        </w:rPr>
        <w:t>标准给出有机化工行业、挥发性有机物、泄露检测与修复、无组织排放、密闭、密闭空间、非正常工况、污染预防技术、污染治理技术、环境管理措施、污染防治可行技术11个术语和定义。</w:t>
      </w:r>
    </w:p>
    <w:p w14:paraId="3B4117BB">
      <w:pPr>
        <w:ind w:firstLine="480"/>
        <w:rPr>
          <w:color w:val="000000"/>
          <w:sz w:val="22"/>
        </w:rPr>
      </w:pPr>
      <w:r>
        <w:rPr>
          <w:szCs w:val="28"/>
        </w:rPr>
        <w:t>有机化工行业的术语和定义参考《江西省挥发性有机物排放标准 第2部分：有机化工行业》（DB 36/1101.2）。挥发性有机物、无组织排放、密闭、密闭空间4个术语和定义参考《挥发性有机物无组织排放控制标准》（GB 37822-2019）。非正常工况、泄漏检测与修复的术语和定义参考原环境保护部发布的《挥发性有机物（VOCs）污染防治技术政策》。污染预防技术、污染治理技术、环境管理措施、污染防治可行技术4个术语和定义参考《污染防治可行技术指南编制导则》（HJ 2300-2018）。</w:t>
      </w:r>
    </w:p>
    <w:p w14:paraId="6DEC97BA">
      <w:pPr>
        <w:pStyle w:val="4"/>
        <w:tabs>
          <w:tab w:val="left" w:pos="433"/>
        </w:tabs>
        <w:spacing w:before="0" w:after="0"/>
        <w:rPr>
          <w:rFonts w:ascii="Times New Roman" w:hAnsi="Times New Roman"/>
          <w:szCs w:val="24"/>
        </w:rPr>
      </w:pPr>
      <w:bookmarkStart w:id="126" w:name="_Toc80611451"/>
      <w:bookmarkStart w:id="127" w:name="_Toc15404"/>
      <w:bookmarkStart w:id="128" w:name="_Toc22648195"/>
      <w:bookmarkStart w:id="129" w:name="_Toc475"/>
      <w:bookmarkStart w:id="130" w:name="_Toc159926939"/>
      <w:r>
        <w:rPr>
          <w:rFonts w:ascii="Times New Roman" w:hAnsi="Times New Roman"/>
        </w:rPr>
        <w:t xml:space="preserve">6.3 </w:t>
      </w:r>
      <w:r>
        <w:rPr>
          <w:rFonts w:ascii="Times New Roman" w:hAnsi="Times New Roman"/>
          <w:szCs w:val="24"/>
        </w:rPr>
        <w:t>有机化工行业</w:t>
      </w:r>
      <w:bookmarkEnd w:id="126"/>
      <w:bookmarkEnd w:id="127"/>
      <w:bookmarkEnd w:id="128"/>
      <w:bookmarkEnd w:id="129"/>
      <w:r>
        <w:rPr>
          <w:rFonts w:ascii="Times New Roman" w:hAnsi="Times New Roman"/>
          <w:szCs w:val="24"/>
        </w:rPr>
        <w:t>企业挥发性有机物排放分析</w:t>
      </w:r>
      <w:bookmarkEnd w:id="130"/>
    </w:p>
    <w:p w14:paraId="728CE27F">
      <w:pPr>
        <w:pStyle w:val="5"/>
        <w:tabs>
          <w:tab w:val="left" w:pos="645"/>
          <w:tab w:val="left" w:pos="2115"/>
        </w:tabs>
        <w:spacing w:before="0" w:after="0"/>
        <w:rPr>
          <w:b w:val="0"/>
        </w:rPr>
      </w:pPr>
      <w:bookmarkStart w:id="131" w:name="_Toc3979"/>
      <w:bookmarkStart w:id="132" w:name="_Toc22648196"/>
      <w:bookmarkStart w:id="133" w:name="_Toc80611452"/>
      <w:bookmarkStart w:id="134" w:name="_Toc4949"/>
      <w:bookmarkStart w:id="135" w:name="_Toc159926940"/>
      <w:r>
        <w:t>6.3.1</w:t>
      </w:r>
      <w:bookmarkEnd w:id="131"/>
      <w:bookmarkEnd w:id="132"/>
      <w:bookmarkEnd w:id="133"/>
      <w:bookmarkEnd w:id="134"/>
      <w:r>
        <w:t xml:space="preserve"> 典型生产工艺</w:t>
      </w:r>
      <w:bookmarkEnd w:id="135"/>
    </w:p>
    <w:p w14:paraId="7B97A87E">
      <w:pPr>
        <w:ind w:firstLine="480"/>
        <w:rPr>
          <w:szCs w:val="28"/>
        </w:rPr>
      </w:pPr>
      <w:r>
        <w:rPr>
          <w:rFonts w:hint="eastAsia"/>
          <w:szCs w:val="28"/>
        </w:rPr>
        <w:t>有机化工根据生产工艺可分为有化学反应类和复配类。有化学反应类工艺主要包括进料、反应、分离、提纯、精制、干燥、溶剂回收等环节；复配类工艺主要包括进料、混合、罐装等环节。</w:t>
      </w:r>
      <w:r>
        <w:rPr>
          <w:szCs w:val="28"/>
        </w:rPr>
        <w:t>工艺流程见下图。</w:t>
      </w:r>
    </w:p>
    <w:p w14:paraId="1202DEDC">
      <w:pPr>
        <w:spacing w:line="257" w:lineRule="auto"/>
        <w:ind w:firstLine="0" w:firstLineChars="0"/>
        <w:jc w:val="center"/>
        <w:rPr>
          <w:kern w:val="0"/>
          <w:sz w:val="21"/>
          <w:szCs w:val="21"/>
          <w:lang w:eastAsia="en-US"/>
        </w:rPr>
      </w:pPr>
      <w:r>
        <w:drawing>
          <wp:inline distT="0" distB="0" distL="0" distR="0">
            <wp:extent cx="3511550" cy="3094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511550" cy="3094355"/>
                    </a:xfrm>
                    <a:prstGeom prst="rect">
                      <a:avLst/>
                    </a:prstGeom>
                    <a:noFill/>
                    <a:ln>
                      <a:noFill/>
                    </a:ln>
                  </pic:spPr>
                </pic:pic>
              </a:graphicData>
            </a:graphic>
          </wp:inline>
        </w:drawing>
      </w:r>
    </w:p>
    <w:p w14:paraId="12D6F6A3">
      <w:pPr>
        <w:ind w:firstLine="0" w:firstLineChars="0"/>
        <w:jc w:val="center"/>
        <w:rPr>
          <w:b/>
          <w:bCs/>
          <w:kern w:val="0"/>
          <w:szCs w:val="21"/>
        </w:rPr>
      </w:pPr>
      <w:r>
        <w:rPr>
          <w:b/>
          <w:bCs/>
          <w:kern w:val="0"/>
          <w:szCs w:val="21"/>
        </w:rPr>
        <w:t xml:space="preserve">图6.3-1 </w:t>
      </w:r>
      <w:r>
        <w:rPr>
          <w:rFonts w:hint="eastAsia"/>
          <w:b/>
          <w:bCs/>
          <w:kern w:val="0"/>
          <w:szCs w:val="21"/>
        </w:rPr>
        <w:t xml:space="preserve"> </w:t>
      </w:r>
      <w:r>
        <w:rPr>
          <w:b/>
          <w:bCs/>
          <w:kern w:val="0"/>
          <w:szCs w:val="21"/>
        </w:rPr>
        <w:t>有化学反应类有机化工工艺流程</w:t>
      </w:r>
    </w:p>
    <w:p w14:paraId="7A7443B6">
      <w:pPr>
        <w:spacing w:line="257" w:lineRule="auto"/>
        <w:ind w:firstLine="0" w:firstLineChars="0"/>
        <w:jc w:val="center"/>
        <w:rPr>
          <w:b/>
          <w:bCs/>
          <w:kern w:val="0"/>
          <w:sz w:val="21"/>
          <w:szCs w:val="21"/>
          <w:lang w:eastAsia="en-US"/>
        </w:rPr>
      </w:pPr>
      <w:r>
        <w:drawing>
          <wp:inline distT="0" distB="0" distL="0" distR="0">
            <wp:extent cx="4330700" cy="14262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30700" cy="1426210"/>
                    </a:xfrm>
                    <a:prstGeom prst="rect">
                      <a:avLst/>
                    </a:prstGeom>
                    <a:noFill/>
                    <a:ln>
                      <a:noFill/>
                    </a:ln>
                  </pic:spPr>
                </pic:pic>
              </a:graphicData>
            </a:graphic>
          </wp:inline>
        </w:drawing>
      </w:r>
    </w:p>
    <w:p w14:paraId="4B0FF475">
      <w:pPr>
        <w:ind w:firstLine="0" w:firstLineChars="0"/>
        <w:jc w:val="center"/>
        <w:rPr>
          <w:b/>
          <w:bCs/>
          <w:kern w:val="0"/>
          <w:sz w:val="22"/>
          <w:szCs w:val="20"/>
        </w:rPr>
      </w:pPr>
      <w:r>
        <w:rPr>
          <w:b/>
          <w:bCs/>
          <w:kern w:val="0"/>
          <w:szCs w:val="21"/>
        </w:rPr>
        <w:t xml:space="preserve">图6.3-2 </w:t>
      </w:r>
      <w:r>
        <w:rPr>
          <w:rFonts w:hint="eastAsia"/>
          <w:b/>
          <w:bCs/>
          <w:kern w:val="0"/>
          <w:szCs w:val="21"/>
        </w:rPr>
        <w:t xml:space="preserve"> </w:t>
      </w:r>
      <w:r>
        <w:rPr>
          <w:b/>
          <w:bCs/>
          <w:kern w:val="0"/>
          <w:szCs w:val="21"/>
        </w:rPr>
        <w:t>复配类有机化工工艺流程</w:t>
      </w:r>
    </w:p>
    <w:p w14:paraId="38BF113D">
      <w:pPr>
        <w:pStyle w:val="5"/>
        <w:tabs>
          <w:tab w:val="left" w:pos="645"/>
          <w:tab w:val="left" w:pos="2115"/>
        </w:tabs>
        <w:spacing w:before="0" w:after="0"/>
      </w:pPr>
      <w:bookmarkStart w:id="136" w:name="_Toc159926941"/>
      <w:r>
        <w:t>6.3.2 来源及排放形式</w:t>
      </w:r>
      <w:bookmarkEnd w:id="136"/>
    </w:p>
    <w:p w14:paraId="573172F5">
      <w:pPr>
        <w:ind w:firstLine="480"/>
        <w:rPr>
          <w:szCs w:val="28"/>
        </w:rPr>
      </w:pPr>
      <w:r>
        <w:rPr>
          <w:rFonts w:hint="eastAsia"/>
          <w:szCs w:val="28"/>
        </w:rPr>
        <w:t>有机化工生产过程中，产生的废气种类主要包括VOCs废气、无机废气、恶臭和粉尘。其中VOCs废气主要来自物料存储和装卸、反应或混合过程、物料转移、分离提纯、精制、干燥、溶剂回收、开停工（车）、检维修、废水收集处理、危废暂存以及设备的密封点等环节。</w:t>
      </w:r>
      <w:r>
        <w:rPr>
          <w:szCs w:val="28"/>
        </w:rPr>
        <w:t>有机化学工业常见废气来源及排放类型见表6.3-1。</w:t>
      </w:r>
    </w:p>
    <w:p w14:paraId="60CF9691">
      <w:pPr>
        <w:tabs>
          <w:tab w:val="left" w:pos="578"/>
        </w:tabs>
        <w:spacing w:before="177"/>
        <w:ind w:right="29" w:firstLine="0" w:firstLineChars="0"/>
        <w:jc w:val="center"/>
        <w:rPr>
          <w:b/>
          <w:bCs/>
          <w:kern w:val="0"/>
          <w:sz w:val="32"/>
          <w:szCs w:val="21"/>
        </w:rPr>
      </w:pPr>
      <w:r>
        <w:rPr>
          <w:b/>
          <w:kern w:val="0"/>
          <w:szCs w:val="21"/>
        </w:rPr>
        <w:t>表6.3-1  有机化学工业类主要废气来源及类型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2528"/>
        <w:gridCol w:w="4510"/>
      </w:tblGrid>
      <w:tr w14:paraId="0CA3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2" w:type="pct"/>
            <w:vAlign w:val="center"/>
          </w:tcPr>
          <w:p w14:paraId="36D283DA">
            <w:pPr>
              <w:spacing w:line="232" w:lineRule="exact"/>
              <w:ind w:firstLine="0" w:firstLineChars="0"/>
              <w:jc w:val="center"/>
              <w:rPr>
                <w:kern w:val="0"/>
                <w:sz w:val="21"/>
                <w:szCs w:val="21"/>
                <w:lang w:eastAsia="en-US"/>
              </w:rPr>
            </w:pPr>
            <w:r>
              <w:rPr>
                <w:kern w:val="0"/>
                <w:sz w:val="21"/>
                <w:szCs w:val="21"/>
                <w:lang w:eastAsia="en-US"/>
              </w:rPr>
              <w:t>废气来源</w:t>
            </w:r>
          </w:p>
        </w:tc>
        <w:tc>
          <w:tcPr>
            <w:tcW w:w="1411" w:type="pct"/>
            <w:vAlign w:val="center"/>
          </w:tcPr>
          <w:p w14:paraId="74D81199">
            <w:pPr>
              <w:spacing w:line="232" w:lineRule="exact"/>
              <w:ind w:firstLine="0" w:firstLineChars="0"/>
              <w:jc w:val="center"/>
              <w:rPr>
                <w:kern w:val="0"/>
                <w:sz w:val="21"/>
                <w:szCs w:val="21"/>
                <w:lang w:eastAsia="en-US"/>
              </w:rPr>
            </w:pPr>
            <w:r>
              <w:rPr>
                <w:kern w:val="0"/>
                <w:sz w:val="21"/>
                <w:szCs w:val="21"/>
                <w:lang w:eastAsia="en-US"/>
              </w:rPr>
              <w:t>产污环节</w:t>
            </w:r>
          </w:p>
        </w:tc>
        <w:tc>
          <w:tcPr>
            <w:tcW w:w="2517" w:type="pct"/>
            <w:vAlign w:val="center"/>
          </w:tcPr>
          <w:p w14:paraId="48926257">
            <w:pPr>
              <w:spacing w:line="232" w:lineRule="exact"/>
              <w:ind w:firstLine="0" w:firstLineChars="0"/>
              <w:jc w:val="center"/>
              <w:rPr>
                <w:kern w:val="0"/>
                <w:sz w:val="21"/>
                <w:szCs w:val="21"/>
                <w:lang w:eastAsia="en-US"/>
              </w:rPr>
            </w:pPr>
            <w:r>
              <w:rPr>
                <w:kern w:val="0"/>
                <w:sz w:val="21"/>
                <w:szCs w:val="21"/>
                <w:lang w:eastAsia="en-US"/>
              </w:rPr>
              <w:t>污染物类型</w:t>
            </w:r>
          </w:p>
        </w:tc>
      </w:tr>
      <w:tr w14:paraId="0CA0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restart"/>
            <w:vAlign w:val="center"/>
          </w:tcPr>
          <w:p w14:paraId="3583DA70">
            <w:pPr>
              <w:spacing w:line="232" w:lineRule="exact"/>
              <w:ind w:firstLine="0" w:firstLineChars="0"/>
              <w:jc w:val="center"/>
              <w:rPr>
                <w:kern w:val="0"/>
                <w:sz w:val="21"/>
                <w:szCs w:val="21"/>
                <w:lang w:eastAsia="en-US"/>
              </w:rPr>
            </w:pPr>
            <w:r>
              <w:rPr>
                <w:kern w:val="0"/>
                <w:sz w:val="21"/>
                <w:szCs w:val="21"/>
                <w:lang w:eastAsia="en-US"/>
              </w:rPr>
              <w:t>反应</w:t>
            </w:r>
            <w:r>
              <w:rPr>
                <w:kern w:val="0"/>
                <w:sz w:val="21"/>
                <w:szCs w:val="21"/>
              </w:rPr>
              <w:t>/混合</w:t>
            </w:r>
            <w:r>
              <w:rPr>
                <w:kern w:val="0"/>
                <w:sz w:val="21"/>
                <w:szCs w:val="21"/>
                <w:lang w:eastAsia="en-US"/>
              </w:rPr>
              <w:t>过程</w:t>
            </w:r>
          </w:p>
        </w:tc>
        <w:tc>
          <w:tcPr>
            <w:tcW w:w="1411" w:type="pct"/>
            <w:vAlign w:val="center"/>
          </w:tcPr>
          <w:p w14:paraId="0D75C081">
            <w:pPr>
              <w:spacing w:line="232" w:lineRule="exact"/>
              <w:ind w:firstLine="0" w:firstLineChars="0"/>
              <w:jc w:val="center"/>
              <w:rPr>
                <w:kern w:val="0"/>
                <w:sz w:val="21"/>
                <w:szCs w:val="21"/>
                <w:lang w:eastAsia="en-US"/>
              </w:rPr>
            </w:pPr>
            <w:r>
              <w:rPr>
                <w:kern w:val="0"/>
                <w:sz w:val="21"/>
                <w:szCs w:val="21"/>
                <w:lang w:eastAsia="en-US"/>
              </w:rPr>
              <w:t>投料卸料</w:t>
            </w:r>
          </w:p>
        </w:tc>
        <w:tc>
          <w:tcPr>
            <w:tcW w:w="2517" w:type="pct"/>
            <w:vAlign w:val="center"/>
          </w:tcPr>
          <w:p w14:paraId="43354D06">
            <w:pPr>
              <w:spacing w:line="232" w:lineRule="exact"/>
              <w:ind w:firstLine="0" w:firstLineChars="0"/>
              <w:jc w:val="center"/>
              <w:rPr>
                <w:kern w:val="0"/>
                <w:sz w:val="21"/>
                <w:szCs w:val="21"/>
              </w:rPr>
            </w:pPr>
            <w:r>
              <w:rPr>
                <w:kern w:val="0"/>
                <w:sz w:val="21"/>
                <w:szCs w:val="21"/>
              </w:rPr>
              <w:t>粉尘、有机废气、无机废气</w:t>
            </w:r>
          </w:p>
        </w:tc>
      </w:tr>
      <w:tr w14:paraId="28BC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continue"/>
            <w:vAlign w:val="center"/>
          </w:tcPr>
          <w:p w14:paraId="130D56A5">
            <w:pPr>
              <w:numPr>
                <w:ilvl w:val="0"/>
                <w:numId w:val="2"/>
              </w:numPr>
              <w:spacing w:line="232" w:lineRule="exact"/>
              <w:ind w:firstLine="0" w:firstLineChars="0"/>
              <w:jc w:val="center"/>
              <w:rPr>
                <w:kern w:val="0"/>
                <w:sz w:val="21"/>
                <w:szCs w:val="21"/>
              </w:rPr>
            </w:pPr>
          </w:p>
        </w:tc>
        <w:tc>
          <w:tcPr>
            <w:tcW w:w="1411" w:type="pct"/>
            <w:vAlign w:val="center"/>
          </w:tcPr>
          <w:p w14:paraId="1B2EEDA5">
            <w:pPr>
              <w:spacing w:line="232" w:lineRule="exact"/>
              <w:ind w:firstLine="0" w:firstLineChars="0"/>
              <w:jc w:val="center"/>
              <w:rPr>
                <w:kern w:val="0"/>
                <w:sz w:val="21"/>
                <w:szCs w:val="21"/>
              </w:rPr>
            </w:pPr>
            <w:r>
              <w:rPr>
                <w:kern w:val="0"/>
                <w:sz w:val="21"/>
                <w:szCs w:val="21"/>
                <w:lang w:eastAsia="en-US"/>
              </w:rPr>
              <w:t>合成</w:t>
            </w:r>
            <w:r>
              <w:rPr>
                <w:kern w:val="0"/>
                <w:sz w:val="21"/>
                <w:szCs w:val="21"/>
              </w:rPr>
              <w:t>/混合</w:t>
            </w:r>
          </w:p>
        </w:tc>
        <w:tc>
          <w:tcPr>
            <w:tcW w:w="2517" w:type="pct"/>
            <w:vAlign w:val="center"/>
          </w:tcPr>
          <w:p w14:paraId="2140183E">
            <w:pPr>
              <w:spacing w:line="232" w:lineRule="exact"/>
              <w:ind w:firstLine="0" w:firstLineChars="0"/>
              <w:jc w:val="center"/>
              <w:rPr>
                <w:kern w:val="0"/>
                <w:sz w:val="21"/>
                <w:szCs w:val="21"/>
                <w:lang w:eastAsia="en-US"/>
              </w:rPr>
            </w:pPr>
            <w:r>
              <w:rPr>
                <w:kern w:val="0"/>
                <w:sz w:val="21"/>
                <w:szCs w:val="21"/>
                <w:lang w:eastAsia="en-US"/>
              </w:rPr>
              <w:t>有机废气、无机废气</w:t>
            </w:r>
          </w:p>
        </w:tc>
      </w:tr>
      <w:tr w14:paraId="24DD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restart"/>
            <w:vAlign w:val="center"/>
          </w:tcPr>
          <w:p w14:paraId="62514B93">
            <w:pPr>
              <w:spacing w:line="232" w:lineRule="exact"/>
              <w:ind w:firstLine="0" w:firstLineChars="0"/>
              <w:jc w:val="center"/>
              <w:rPr>
                <w:kern w:val="0"/>
                <w:sz w:val="21"/>
                <w:szCs w:val="21"/>
                <w:lang w:eastAsia="en-US"/>
              </w:rPr>
            </w:pPr>
            <w:r>
              <w:rPr>
                <w:kern w:val="0"/>
                <w:sz w:val="21"/>
                <w:szCs w:val="21"/>
                <w:lang w:eastAsia="en-US"/>
              </w:rPr>
              <w:t>后处理过程</w:t>
            </w:r>
          </w:p>
        </w:tc>
        <w:tc>
          <w:tcPr>
            <w:tcW w:w="1411" w:type="pct"/>
            <w:vAlign w:val="center"/>
          </w:tcPr>
          <w:p w14:paraId="23C13424">
            <w:pPr>
              <w:spacing w:line="232" w:lineRule="exact"/>
              <w:ind w:firstLine="0" w:firstLineChars="0"/>
              <w:jc w:val="center"/>
              <w:rPr>
                <w:kern w:val="0"/>
                <w:sz w:val="21"/>
                <w:szCs w:val="21"/>
                <w:lang w:eastAsia="en-US"/>
              </w:rPr>
            </w:pPr>
            <w:r>
              <w:rPr>
                <w:kern w:val="0"/>
                <w:sz w:val="21"/>
                <w:szCs w:val="21"/>
                <w:lang w:eastAsia="en-US"/>
              </w:rPr>
              <w:t>溶剂回收</w:t>
            </w:r>
          </w:p>
        </w:tc>
        <w:tc>
          <w:tcPr>
            <w:tcW w:w="2517" w:type="pct"/>
            <w:vAlign w:val="center"/>
          </w:tcPr>
          <w:p w14:paraId="3B2BEDC9">
            <w:pPr>
              <w:spacing w:line="232" w:lineRule="exact"/>
              <w:ind w:firstLine="0" w:firstLineChars="0"/>
              <w:jc w:val="center"/>
              <w:rPr>
                <w:kern w:val="0"/>
                <w:sz w:val="21"/>
                <w:szCs w:val="21"/>
                <w:lang w:eastAsia="en-US"/>
              </w:rPr>
            </w:pPr>
            <w:r>
              <w:rPr>
                <w:kern w:val="0"/>
                <w:sz w:val="21"/>
                <w:szCs w:val="21"/>
                <w:lang w:eastAsia="en-US"/>
              </w:rPr>
              <w:t>有机废气</w:t>
            </w:r>
          </w:p>
        </w:tc>
      </w:tr>
      <w:tr w14:paraId="532C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continue"/>
            <w:vAlign w:val="center"/>
          </w:tcPr>
          <w:p w14:paraId="70E5E833">
            <w:pPr>
              <w:numPr>
                <w:ilvl w:val="0"/>
                <w:numId w:val="2"/>
              </w:numPr>
              <w:spacing w:line="232" w:lineRule="exact"/>
              <w:ind w:firstLine="0" w:firstLineChars="0"/>
              <w:jc w:val="center"/>
              <w:rPr>
                <w:kern w:val="0"/>
                <w:sz w:val="21"/>
                <w:szCs w:val="21"/>
                <w:lang w:eastAsia="en-US"/>
              </w:rPr>
            </w:pPr>
          </w:p>
        </w:tc>
        <w:tc>
          <w:tcPr>
            <w:tcW w:w="1411" w:type="pct"/>
            <w:vAlign w:val="center"/>
          </w:tcPr>
          <w:p w14:paraId="3AE8B6D2">
            <w:pPr>
              <w:spacing w:line="232" w:lineRule="exact"/>
              <w:ind w:firstLine="0" w:firstLineChars="0"/>
              <w:jc w:val="center"/>
              <w:rPr>
                <w:kern w:val="0"/>
                <w:sz w:val="21"/>
                <w:szCs w:val="21"/>
              </w:rPr>
            </w:pPr>
            <w:r>
              <w:rPr>
                <w:kern w:val="0"/>
                <w:sz w:val="21"/>
                <w:szCs w:val="21"/>
                <w:lang w:eastAsia="en-US"/>
              </w:rPr>
              <w:t>分离</w:t>
            </w:r>
            <w:r>
              <w:rPr>
                <w:kern w:val="0"/>
                <w:sz w:val="21"/>
                <w:szCs w:val="21"/>
              </w:rPr>
              <w:t>/提纯/精制</w:t>
            </w:r>
          </w:p>
        </w:tc>
        <w:tc>
          <w:tcPr>
            <w:tcW w:w="2517" w:type="pct"/>
            <w:vAlign w:val="center"/>
          </w:tcPr>
          <w:p w14:paraId="02D5E626">
            <w:pPr>
              <w:spacing w:line="232" w:lineRule="exact"/>
              <w:ind w:firstLine="0" w:firstLineChars="0"/>
              <w:jc w:val="center"/>
              <w:rPr>
                <w:kern w:val="0"/>
                <w:sz w:val="21"/>
                <w:szCs w:val="21"/>
              </w:rPr>
            </w:pPr>
            <w:r>
              <w:rPr>
                <w:kern w:val="0"/>
                <w:sz w:val="21"/>
                <w:szCs w:val="21"/>
              </w:rPr>
              <w:t>有机废气、无机废气、恶臭</w:t>
            </w:r>
          </w:p>
        </w:tc>
      </w:tr>
      <w:tr w14:paraId="344C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continue"/>
            <w:vAlign w:val="center"/>
          </w:tcPr>
          <w:p w14:paraId="2FE36805">
            <w:pPr>
              <w:numPr>
                <w:ilvl w:val="0"/>
                <w:numId w:val="2"/>
              </w:numPr>
              <w:spacing w:line="232" w:lineRule="exact"/>
              <w:ind w:firstLine="0" w:firstLineChars="0"/>
              <w:jc w:val="center"/>
              <w:rPr>
                <w:kern w:val="0"/>
                <w:sz w:val="21"/>
                <w:szCs w:val="21"/>
              </w:rPr>
            </w:pPr>
          </w:p>
        </w:tc>
        <w:tc>
          <w:tcPr>
            <w:tcW w:w="1411" w:type="pct"/>
            <w:vAlign w:val="center"/>
          </w:tcPr>
          <w:p w14:paraId="3FB3B873">
            <w:pPr>
              <w:spacing w:line="232" w:lineRule="exact"/>
              <w:ind w:firstLine="0" w:firstLineChars="0"/>
              <w:jc w:val="center"/>
              <w:rPr>
                <w:kern w:val="0"/>
                <w:sz w:val="21"/>
                <w:szCs w:val="21"/>
                <w:lang w:eastAsia="en-US"/>
              </w:rPr>
            </w:pPr>
            <w:r>
              <w:rPr>
                <w:kern w:val="0"/>
                <w:sz w:val="21"/>
                <w:szCs w:val="21"/>
                <w:lang w:eastAsia="en-US"/>
              </w:rPr>
              <w:t>干燥</w:t>
            </w:r>
          </w:p>
        </w:tc>
        <w:tc>
          <w:tcPr>
            <w:tcW w:w="2517" w:type="pct"/>
            <w:vAlign w:val="center"/>
          </w:tcPr>
          <w:p w14:paraId="0329476C">
            <w:pPr>
              <w:spacing w:line="232" w:lineRule="exact"/>
              <w:ind w:firstLine="0" w:firstLineChars="0"/>
              <w:jc w:val="center"/>
              <w:rPr>
                <w:kern w:val="0"/>
                <w:sz w:val="21"/>
                <w:szCs w:val="21"/>
              </w:rPr>
            </w:pPr>
            <w:r>
              <w:rPr>
                <w:kern w:val="0"/>
                <w:sz w:val="21"/>
                <w:szCs w:val="21"/>
              </w:rPr>
              <w:t>粉尘、有机废气、无机废气</w:t>
            </w:r>
          </w:p>
        </w:tc>
      </w:tr>
      <w:tr w14:paraId="4408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continue"/>
            <w:vAlign w:val="center"/>
          </w:tcPr>
          <w:p w14:paraId="093CDED9">
            <w:pPr>
              <w:numPr>
                <w:ilvl w:val="0"/>
                <w:numId w:val="2"/>
              </w:numPr>
              <w:spacing w:line="232" w:lineRule="exact"/>
              <w:ind w:firstLine="0" w:firstLineChars="0"/>
              <w:jc w:val="center"/>
              <w:rPr>
                <w:kern w:val="0"/>
                <w:sz w:val="21"/>
                <w:szCs w:val="21"/>
              </w:rPr>
            </w:pPr>
          </w:p>
        </w:tc>
        <w:tc>
          <w:tcPr>
            <w:tcW w:w="1411" w:type="pct"/>
            <w:vAlign w:val="center"/>
          </w:tcPr>
          <w:p w14:paraId="5E338181">
            <w:pPr>
              <w:spacing w:line="232" w:lineRule="exact"/>
              <w:ind w:firstLine="0" w:firstLineChars="0"/>
              <w:jc w:val="center"/>
              <w:rPr>
                <w:kern w:val="0"/>
                <w:sz w:val="21"/>
                <w:szCs w:val="21"/>
                <w:lang w:eastAsia="en-US"/>
              </w:rPr>
            </w:pPr>
            <w:r>
              <w:rPr>
                <w:kern w:val="0"/>
                <w:sz w:val="21"/>
                <w:szCs w:val="21"/>
                <w:lang w:eastAsia="en-US"/>
              </w:rPr>
              <w:t>出料</w:t>
            </w:r>
          </w:p>
        </w:tc>
        <w:tc>
          <w:tcPr>
            <w:tcW w:w="2517" w:type="pct"/>
            <w:vAlign w:val="center"/>
          </w:tcPr>
          <w:p w14:paraId="3ED539C6">
            <w:pPr>
              <w:spacing w:line="232" w:lineRule="exact"/>
              <w:ind w:firstLine="0" w:firstLineChars="0"/>
              <w:jc w:val="center"/>
              <w:rPr>
                <w:kern w:val="0"/>
                <w:sz w:val="21"/>
                <w:szCs w:val="21"/>
              </w:rPr>
            </w:pPr>
            <w:r>
              <w:rPr>
                <w:kern w:val="0"/>
                <w:sz w:val="21"/>
                <w:szCs w:val="21"/>
              </w:rPr>
              <w:t>粉尘、有机废气、无机废气</w:t>
            </w:r>
          </w:p>
        </w:tc>
      </w:tr>
      <w:tr w14:paraId="6B1D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restart"/>
            <w:vAlign w:val="center"/>
          </w:tcPr>
          <w:p w14:paraId="6D8AB6BE">
            <w:pPr>
              <w:spacing w:line="232" w:lineRule="exact"/>
              <w:ind w:firstLine="0" w:firstLineChars="0"/>
              <w:jc w:val="center"/>
              <w:rPr>
                <w:kern w:val="0"/>
                <w:sz w:val="21"/>
                <w:szCs w:val="21"/>
                <w:lang w:eastAsia="en-US"/>
              </w:rPr>
            </w:pPr>
            <w:r>
              <w:rPr>
                <w:kern w:val="0"/>
                <w:sz w:val="21"/>
                <w:szCs w:val="21"/>
                <w:lang w:eastAsia="en-US"/>
              </w:rPr>
              <w:t>物料输送</w:t>
            </w:r>
          </w:p>
        </w:tc>
        <w:tc>
          <w:tcPr>
            <w:tcW w:w="1411" w:type="pct"/>
            <w:vAlign w:val="center"/>
          </w:tcPr>
          <w:p w14:paraId="7CCA02C4">
            <w:pPr>
              <w:spacing w:line="232" w:lineRule="exact"/>
              <w:ind w:firstLine="0" w:firstLineChars="0"/>
              <w:jc w:val="center"/>
              <w:rPr>
                <w:kern w:val="0"/>
                <w:sz w:val="21"/>
                <w:szCs w:val="21"/>
                <w:lang w:eastAsia="en-US"/>
              </w:rPr>
            </w:pPr>
            <w:r>
              <w:rPr>
                <w:kern w:val="0"/>
                <w:sz w:val="21"/>
                <w:szCs w:val="21"/>
                <w:lang w:eastAsia="en-US"/>
              </w:rPr>
              <w:t>输送泵</w:t>
            </w:r>
          </w:p>
        </w:tc>
        <w:tc>
          <w:tcPr>
            <w:tcW w:w="2517" w:type="pct"/>
            <w:vMerge w:val="restart"/>
            <w:vAlign w:val="center"/>
          </w:tcPr>
          <w:p w14:paraId="4FC80270">
            <w:pPr>
              <w:spacing w:line="232" w:lineRule="exact"/>
              <w:ind w:firstLine="0" w:firstLineChars="0"/>
              <w:jc w:val="center"/>
              <w:rPr>
                <w:kern w:val="0"/>
                <w:sz w:val="21"/>
                <w:szCs w:val="21"/>
                <w:lang w:eastAsia="en-US"/>
              </w:rPr>
            </w:pPr>
            <w:r>
              <w:rPr>
                <w:kern w:val="0"/>
                <w:sz w:val="21"/>
                <w:szCs w:val="21"/>
                <w:lang w:eastAsia="en-US"/>
              </w:rPr>
              <w:t>有机废气、无机废气</w:t>
            </w:r>
          </w:p>
        </w:tc>
      </w:tr>
      <w:tr w14:paraId="24AA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continue"/>
            <w:vAlign w:val="center"/>
          </w:tcPr>
          <w:p w14:paraId="69C761B1">
            <w:pPr>
              <w:spacing w:line="232" w:lineRule="exact"/>
              <w:ind w:firstLine="0" w:firstLineChars="0"/>
              <w:jc w:val="center"/>
              <w:rPr>
                <w:kern w:val="0"/>
                <w:sz w:val="21"/>
                <w:szCs w:val="21"/>
                <w:lang w:eastAsia="en-US"/>
              </w:rPr>
            </w:pPr>
          </w:p>
        </w:tc>
        <w:tc>
          <w:tcPr>
            <w:tcW w:w="1411" w:type="pct"/>
            <w:vAlign w:val="center"/>
          </w:tcPr>
          <w:p w14:paraId="3EEC9A27">
            <w:pPr>
              <w:spacing w:line="232" w:lineRule="exact"/>
              <w:ind w:firstLine="0" w:firstLineChars="0"/>
              <w:jc w:val="center"/>
              <w:rPr>
                <w:kern w:val="0"/>
                <w:sz w:val="21"/>
                <w:szCs w:val="21"/>
                <w:lang w:eastAsia="en-US"/>
              </w:rPr>
            </w:pPr>
            <w:r>
              <w:rPr>
                <w:kern w:val="0"/>
                <w:sz w:val="21"/>
                <w:szCs w:val="21"/>
                <w:lang w:eastAsia="en-US"/>
              </w:rPr>
              <w:t>真空泵</w:t>
            </w:r>
          </w:p>
        </w:tc>
        <w:tc>
          <w:tcPr>
            <w:tcW w:w="2517" w:type="pct"/>
            <w:vMerge w:val="continue"/>
            <w:vAlign w:val="center"/>
          </w:tcPr>
          <w:p w14:paraId="5B30C022">
            <w:pPr>
              <w:spacing w:line="232" w:lineRule="exact"/>
              <w:ind w:firstLine="0" w:firstLineChars="0"/>
              <w:jc w:val="center"/>
              <w:rPr>
                <w:kern w:val="0"/>
                <w:sz w:val="21"/>
                <w:szCs w:val="21"/>
                <w:lang w:eastAsia="en-US"/>
              </w:rPr>
            </w:pPr>
          </w:p>
        </w:tc>
      </w:tr>
      <w:tr w14:paraId="734B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restart"/>
            <w:vAlign w:val="center"/>
          </w:tcPr>
          <w:p w14:paraId="2B753FAD">
            <w:pPr>
              <w:spacing w:line="232" w:lineRule="exact"/>
              <w:ind w:firstLine="0" w:firstLineChars="0"/>
              <w:jc w:val="center"/>
              <w:rPr>
                <w:kern w:val="0"/>
                <w:sz w:val="21"/>
                <w:szCs w:val="21"/>
                <w:lang w:eastAsia="en-US"/>
              </w:rPr>
            </w:pPr>
            <w:r>
              <w:rPr>
                <w:kern w:val="0"/>
                <w:sz w:val="21"/>
                <w:szCs w:val="21"/>
                <w:lang w:eastAsia="en-US"/>
              </w:rPr>
              <w:t>辅助设施</w:t>
            </w:r>
          </w:p>
        </w:tc>
        <w:tc>
          <w:tcPr>
            <w:tcW w:w="1411" w:type="pct"/>
            <w:vAlign w:val="center"/>
          </w:tcPr>
          <w:p w14:paraId="66FAB911">
            <w:pPr>
              <w:spacing w:line="232" w:lineRule="exact"/>
              <w:ind w:firstLine="0" w:firstLineChars="0"/>
              <w:jc w:val="center"/>
              <w:rPr>
                <w:kern w:val="0"/>
                <w:sz w:val="21"/>
                <w:szCs w:val="21"/>
                <w:lang w:eastAsia="en-US"/>
              </w:rPr>
            </w:pPr>
            <w:r>
              <w:rPr>
                <w:kern w:val="0"/>
                <w:sz w:val="21"/>
                <w:szCs w:val="21"/>
                <w:lang w:eastAsia="en-US"/>
              </w:rPr>
              <w:t>污水处理站</w:t>
            </w:r>
          </w:p>
        </w:tc>
        <w:tc>
          <w:tcPr>
            <w:tcW w:w="2517" w:type="pct"/>
            <w:vAlign w:val="center"/>
          </w:tcPr>
          <w:p w14:paraId="4350EEF1">
            <w:pPr>
              <w:spacing w:line="232" w:lineRule="exact"/>
              <w:ind w:firstLine="0" w:firstLineChars="0"/>
              <w:jc w:val="center"/>
              <w:rPr>
                <w:kern w:val="0"/>
                <w:sz w:val="21"/>
                <w:szCs w:val="21"/>
              </w:rPr>
            </w:pPr>
            <w:r>
              <w:rPr>
                <w:kern w:val="0"/>
                <w:sz w:val="21"/>
                <w:szCs w:val="21"/>
              </w:rPr>
              <w:t>恶臭气体、无机废气、沼气、有机废气</w:t>
            </w:r>
          </w:p>
        </w:tc>
      </w:tr>
      <w:tr w14:paraId="0FF4A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continue"/>
            <w:vAlign w:val="center"/>
          </w:tcPr>
          <w:p w14:paraId="5B1812D4">
            <w:pPr>
              <w:spacing w:line="232" w:lineRule="exact"/>
              <w:ind w:firstLine="0" w:firstLineChars="0"/>
              <w:jc w:val="center"/>
              <w:rPr>
                <w:kern w:val="0"/>
                <w:sz w:val="21"/>
                <w:szCs w:val="21"/>
              </w:rPr>
            </w:pPr>
          </w:p>
        </w:tc>
        <w:tc>
          <w:tcPr>
            <w:tcW w:w="1411" w:type="pct"/>
            <w:vAlign w:val="center"/>
          </w:tcPr>
          <w:p w14:paraId="21C4E96F">
            <w:pPr>
              <w:spacing w:line="232" w:lineRule="exact"/>
              <w:ind w:firstLine="0" w:firstLineChars="0"/>
              <w:jc w:val="center"/>
              <w:rPr>
                <w:kern w:val="0"/>
                <w:sz w:val="21"/>
                <w:szCs w:val="21"/>
                <w:lang w:eastAsia="en-US"/>
              </w:rPr>
            </w:pPr>
            <w:r>
              <w:rPr>
                <w:kern w:val="0"/>
                <w:sz w:val="21"/>
                <w:szCs w:val="21"/>
                <w:lang w:eastAsia="en-US"/>
              </w:rPr>
              <w:t>危废暂存库</w:t>
            </w:r>
          </w:p>
        </w:tc>
        <w:tc>
          <w:tcPr>
            <w:tcW w:w="2517" w:type="pct"/>
            <w:vAlign w:val="center"/>
          </w:tcPr>
          <w:p w14:paraId="7E197320">
            <w:pPr>
              <w:spacing w:line="232" w:lineRule="exact"/>
              <w:ind w:firstLine="0" w:firstLineChars="0"/>
              <w:jc w:val="center"/>
              <w:rPr>
                <w:kern w:val="0"/>
                <w:sz w:val="21"/>
                <w:szCs w:val="21"/>
                <w:lang w:eastAsia="en-US"/>
              </w:rPr>
            </w:pPr>
            <w:r>
              <w:rPr>
                <w:kern w:val="0"/>
                <w:sz w:val="21"/>
                <w:szCs w:val="21"/>
                <w:lang w:eastAsia="en-US"/>
              </w:rPr>
              <w:t>恶臭气体、有机废气</w:t>
            </w:r>
          </w:p>
        </w:tc>
      </w:tr>
      <w:tr w14:paraId="5CDB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restart"/>
            <w:vAlign w:val="center"/>
          </w:tcPr>
          <w:p w14:paraId="2964C13D">
            <w:pPr>
              <w:spacing w:line="232" w:lineRule="exact"/>
              <w:ind w:firstLine="0" w:firstLineChars="0"/>
              <w:jc w:val="center"/>
              <w:rPr>
                <w:kern w:val="0"/>
                <w:sz w:val="21"/>
                <w:szCs w:val="21"/>
                <w:lang w:eastAsia="en-US"/>
              </w:rPr>
            </w:pPr>
            <w:r>
              <w:rPr>
                <w:kern w:val="0"/>
                <w:sz w:val="21"/>
                <w:szCs w:val="21"/>
                <w:lang w:eastAsia="en-US"/>
              </w:rPr>
              <w:t>物料储存</w:t>
            </w:r>
          </w:p>
        </w:tc>
        <w:tc>
          <w:tcPr>
            <w:tcW w:w="1411" w:type="pct"/>
            <w:vAlign w:val="center"/>
          </w:tcPr>
          <w:p w14:paraId="415A88E0">
            <w:pPr>
              <w:spacing w:line="232" w:lineRule="exact"/>
              <w:ind w:firstLine="0" w:firstLineChars="0"/>
              <w:jc w:val="center"/>
              <w:rPr>
                <w:kern w:val="0"/>
                <w:sz w:val="21"/>
                <w:szCs w:val="21"/>
                <w:lang w:eastAsia="en-US"/>
              </w:rPr>
            </w:pPr>
            <w:r>
              <w:rPr>
                <w:kern w:val="0"/>
                <w:sz w:val="21"/>
                <w:szCs w:val="21"/>
                <w:lang w:eastAsia="en-US"/>
              </w:rPr>
              <w:t>储罐大小呼吸</w:t>
            </w:r>
          </w:p>
        </w:tc>
        <w:tc>
          <w:tcPr>
            <w:tcW w:w="2517" w:type="pct"/>
            <w:vAlign w:val="center"/>
          </w:tcPr>
          <w:p w14:paraId="4C834902">
            <w:pPr>
              <w:spacing w:line="232" w:lineRule="exact"/>
              <w:ind w:firstLine="0" w:firstLineChars="0"/>
              <w:jc w:val="center"/>
              <w:rPr>
                <w:kern w:val="0"/>
                <w:sz w:val="21"/>
                <w:szCs w:val="21"/>
                <w:lang w:eastAsia="en-US"/>
              </w:rPr>
            </w:pPr>
            <w:r>
              <w:rPr>
                <w:kern w:val="0"/>
                <w:sz w:val="21"/>
                <w:szCs w:val="21"/>
                <w:lang w:eastAsia="en-US"/>
              </w:rPr>
              <w:t>有机废气、无机废气</w:t>
            </w:r>
          </w:p>
        </w:tc>
      </w:tr>
      <w:tr w14:paraId="5C69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2" w:type="pct"/>
            <w:vMerge w:val="continue"/>
            <w:vAlign w:val="center"/>
          </w:tcPr>
          <w:p w14:paraId="3F0943FF">
            <w:pPr>
              <w:numPr>
                <w:ilvl w:val="0"/>
                <w:numId w:val="2"/>
              </w:numPr>
              <w:spacing w:line="232" w:lineRule="exact"/>
              <w:ind w:firstLine="0" w:firstLineChars="0"/>
              <w:jc w:val="center"/>
              <w:rPr>
                <w:kern w:val="0"/>
                <w:sz w:val="21"/>
                <w:szCs w:val="21"/>
                <w:lang w:eastAsia="en-US"/>
              </w:rPr>
            </w:pPr>
          </w:p>
        </w:tc>
        <w:tc>
          <w:tcPr>
            <w:tcW w:w="1411" w:type="pct"/>
            <w:vAlign w:val="center"/>
          </w:tcPr>
          <w:p w14:paraId="79E70D3C">
            <w:pPr>
              <w:spacing w:line="232" w:lineRule="exact"/>
              <w:ind w:firstLine="0" w:firstLineChars="0"/>
              <w:jc w:val="center"/>
              <w:rPr>
                <w:kern w:val="0"/>
                <w:sz w:val="21"/>
                <w:szCs w:val="21"/>
                <w:lang w:eastAsia="en-US"/>
              </w:rPr>
            </w:pPr>
            <w:r>
              <w:rPr>
                <w:kern w:val="0"/>
                <w:sz w:val="21"/>
                <w:szCs w:val="21"/>
                <w:lang w:eastAsia="en-US"/>
              </w:rPr>
              <w:t>非密闭储槽</w:t>
            </w:r>
          </w:p>
        </w:tc>
        <w:tc>
          <w:tcPr>
            <w:tcW w:w="2517" w:type="pct"/>
            <w:vAlign w:val="center"/>
          </w:tcPr>
          <w:p w14:paraId="3A0DA42E">
            <w:pPr>
              <w:spacing w:line="232" w:lineRule="exact"/>
              <w:ind w:firstLine="0" w:firstLineChars="0"/>
              <w:jc w:val="center"/>
              <w:rPr>
                <w:kern w:val="0"/>
                <w:sz w:val="21"/>
                <w:szCs w:val="21"/>
                <w:lang w:eastAsia="en-US"/>
              </w:rPr>
            </w:pPr>
            <w:r>
              <w:rPr>
                <w:kern w:val="0"/>
                <w:sz w:val="21"/>
                <w:szCs w:val="21"/>
                <w:lang w:eastAsia="en-US"/>
              </w:rPr>
              <w:t>有机废气、无机废气</w:t>
            </w:r>
          </w:p>
        </w:tc>
      </w:tr>
    </w:tbl>
    <w:p w14:paraId="76A61BF6">
      <w:pPr>
        <w:pStyle w:val="4"/>
        <w:tabs>
          <w:tab w:val="left" w:pos="433"/>
        </w:tabs>
        <w:spacing w:before="0" w:after="0"/>
        <w:rPr>
          <w:rFonts w:ascii="Times New Roman" w:hAnsi="Times New Roman"/>
          <w:szCs w:val="24"/>
        </w:rPr>
      </w:pPr>
      <w:bookmarkStart w:id="137" w:name="_Toc159926942"/>
      <w:r>
        <w:rPr>
          <w:rFonts w:ascii="Times New Roman" w:hAnsi="Times New Roman"/>
          <w:szCs w:val="24"/>
        </w:rPr>
        <w:t>6.4 有机化工行业企业挥发性有机物污染预防技术</w:t>
      </w:r>
      <w:bookmarkEnd w:id="137"/>
    </w:p>
    <w:p w14:paraId="29C42290">
      <w:pPr>
        <w:ind w:firstLine="480"/>
        <w:rPr>
          <w:szCs w:val="28"/>
        </w:rPr>
      </w:pPr>
      <w:r>
        <w:rPr>
          <w:szCs w:val="28"/>
        </w:rPr>
        <w:t>在总结《挥发性有机物治理实用手册》《重点行业企业挥发性有机物现场检查指南（试行）》《农药制造工业污染防治可行技术指南》（HJ 1293-2023）中提到的有机化工行业挥发性有机物污染预防技术的基础上，参考浙江、山东等省份的挥发性有机物污染预防技术，并结合江西省部分有机化工重点企业调研情况，从源头削减、装置及密封点、VOCs原料存储和贮存、原料产品装卸和运输、物料投加及转移、混合及反应、物料分离与干燥、废水收集与处理、危废储存、非正常工况10个方面提出有机化工行业企业挥发性有机物污染预防技术。</w:t>
      </w:r>
    </w:p>
    <w:p w14:paraId="565D8CE8">
      <w:pPr>
        <w:pStyle w:val="5"/>
        <w:tabs>
          <w:tab w:val="left" w:pos="645"/>
          <w:tab w:val="left" w:pos="2115"/>
        </w:tabs>
        <w:spacing w:before="0" w:after="0"/>
      </w:pPr>
      <w:bookmarkStart w:id="138" w:name="_Toc22713470"/>
      <w:bookmarkStart w:id="139" w:name="_Toc146006741"/>
      <w:bookmarkStart w:id="140" w:name="_Toc159926943"/>
      <w:r>
        <w:t xml:space="preserve">6.4.1 </w:t>
      </w:r>
      <w:bookmarkEnd w:id="138"/>
      <w:r>
        <w:t>源头削减</w:t>
      </w:r>
      <w:bookmarkEnd w:id="139"/>
      <w:bookmarkEnd w:id="140"/>
    </w:p>
    <w:p w14:paraId="09A3F038">
      <w:pPr>
        <w:ind w:firstLine="480"/>
        <w:rPr>
          <w:szCs w:val="28"/>
        </w:rPr>
      </w:pPr>
      <w:r>
        <w:rPr>
          <w:szCs w:val="28"/>
        </w:rPr>
        <w:t>（1）企业宜采用全密闭、连续化、自动化等生产技术，以及高效工艺与设备等，减少VOCs废气排放。</w:t>
      </w:r>
    </w:p>
    <w:p w14:paraId="42AC1247">
      <w:pPr>
        <w:ind w:firstLine="480"/>
        <w:rPr>
          <w:szCs w:val="28"/>
        </w:rPr>
      </w:pPr>
      <w:r>
        <w:rPr>
          <w:szCs w:val="28"/>
        </w:rPr>
        <w:t>（2）农药制造业宜采用水相法、生物酶法合成等技术，替代卤代烃和芳香烃类溶剂，生产水基化类农药制剂。</w:t>
      </w:r>
    </w:p>
    <w:p w14:paraId="5AFFA634">
      <w:pPr>
        <w:ind w:firstLine="480"/>
        <w:rPr>
          <w:szCs w:val="28"/>
        </w:rPr>
      </w:pPr>
      <w:r>
        <w:rPr>
          <w:szCs w:val="28"/>
        </w:rPr>
        <w:t>（3）涂料、染料、油墨及胶粘剂等制造业，应优先使用水性树脂（连接料）替代传统溶剂型树脂进行建筑涂料、水性工业涂料等涂料产品和水性凹版、水性柔板等油墨产品的生产。鼓励企业生产水性、辐射固化、粉末、高固体分、无溶剂等低VOCs含量涂料、染料、油墨、胶粘剂。</w:t>
      </w:r>
    </w:p>
    <w:p w14:paraId="24F0C484">
      <w:pPr>
        <w:ind w:firstLine="480"/>
        <w:rPr>
          <w:szCs w:val="28"/>
        </w:rPr>
      </w:pPr>
      <w:r>
        <w:rPr>
          <w:szCs w:val="28"/>
        </w:rPr>
        <w:t>（4）企业宜用水基清洗剂替代溶剂型清洗剂。</w:t>
      </w:r>
    </w:p>
    <w:p w14:paraId="73F600FD">
      <w:pPr>
        <w:pStyle w:val="5"/>
        <w:tabs>
          <w:tab w:val="left" w:pos="645"/>
          <w:tab w:val="left" w:pos="2115"/>
        </w:tabs>
        <w:spacing w:before="0" w:after="0"/>
      </w:pPr>
      <w:bookmarkStart w:id="141" w:name="_Toc22713471"/>
      <w:bookmarkStart w:id="142" w:name="_Toc159926944"/>
      <w:bookmarkStart w:id="143" w:name="_Toc146006742"/>
      <w:r>
        <w:t xml:space="preserve">6.4.2 </w:t>
      </w:r>
      <w:bookmarkEnd w:id="141"/>
      <w:r>
        <w:t>装置及密封点</w:t>
      </w:r>
      <w:bookmarkEnd w:id="142"/>
      <w:bookmarkEnd w:id="143"/>
    </w:p>
    <w:p w14:paraId="6D62C000">
      <w:pPr>
        <w:ind w:firstLine="480"/>
        <w:rPr>
          <w:szCs w:val="28"/>
        </w:rPr>
      </w:pPr>
      <w:r>
        <w:rPr>
          <w:szCs w:val="28"/>
        </w:rPr>
        <w:t>（1）企业应根据生产情况，采用减少或改变设备密封点的方法来控制VOCs的无组织排放。对管线尽量采取焊接方法，减少法兰连接。在符合工艺要求、确保安全的前提下，应对所有开口管线或开口阀门加装丝堵或盲板。</w:t>
      </w:r>
    </w:p>
    <w:p w14:paraId="0CE7823F">
      <w:pPr>
        <w:ind w:firstLine="480"/>
        <w:rPr>
          <w:szCs w:val="28"/>
        </w:rPr>
      </w:pPr>
      <w:r>
        <w:rPr>
          <w:szCs w:val="28"/>
        </w:rPr>
        <w:t>（2）企业宜使用无泄漏或泄漏量小的泵、管阀件等设备。</w:t>
      </w:r>
      <w:r>
        <w:rPr>
          <w:rFonts w:hint="eastAsia"/>
          <w:szCs w:val="28"/>
        </w:rPr>
        <w:t>设备与管线组件密封点的VOCs泄漏检测值不应超过GB 37822规定的限值，超过的应当维修或更换</w:t>
      </w:r>
      <w:r>
        <w:rPr>
          <w:szCs w:val="28"/>
        </w:rPr>
        <w:t>。</w:t>
      </w:r>
    </w:p>
    <w:p w14:paraId="399FD146">
      <w:pPr>
        <w:ind w:firstLine="480"/>
        <w:rPr>
          <w:szCs w:val="28"/>
        </w:rPr>
      </w:pPr>
      <w:r>
        <w:rPr>
          <w:szCs w:val="28"/>
        </w:rPr>
        <w:t>（3）企业每周对生产、VOCs治理设备与管线组件进行目视观察，检查是否存在可见泄露现象。</w:t>
      </w:r>
    </w:p>
    <w:p w14:paraId="6F5E8C2F">
      <w:pPr>
        <w:ind w:firstLine="480"/>
        <w:rPr>
          <w:szCs w:val="28"/>
        </w:rPr>
      </w:pPr>
      <w:r>
        <w:rPr>
          <w:szCs w:val="28"/>
        </w:rPr>
        <w:t>（4）载有气态和液态VOCs物料的设备与管线组件的密封点超过2000个，应当定期开展泄露检测与修复（LDAR）工作。泵、压缩机、阀门、开口阀、开口管线、气体/蒸气泄压设备、取样连接系统每</w:t>
      </w:r>
      <w:r>
        <w:rPr>
          <w:rFonts w:hint="eastAsia"/>
          <w:szCs w:val="28"/>
        </w:rPr>
        <w:t>6</w:t>
      </w:r>
      <w:r>
        <w:rPr>
          <w:szCs w:val="28"/>
        </w:rPr>
        <w:t>个月检测一次；法兰及其他连接件、其他密封设备每</w:t>
      </w:r>
      <w:r>
        <w:rPr>
          <w:rFonts w:hint="eastAsia"/>
          <w:szCs w:val="28"/>
        </w:rPr>
        <w:t>12</w:t>
      </w:r>
      <w:r>
        <w:rPr>
          <w:szCs w:val="28"/>
        </w:rPr>
        <w:t>个月检测一次。</w:t>
      </w:r>
    </w:p>
    <w:p w14:paraId="5734A789">
      <w:pPr>
        <w:pStyle w:val="5"/>
        <w:tabs>
          <w:tab w:val="left" w:pos="645"/>
          <w:tab w:val="left" w:pos="2115"/>
        </w:tabs>
        <w:spacing w:before="0" w:after="0"/>
      </w:pPr>
      <w:bookmarkStart w:id="144" w:name="_Toc146006743"/>
      <w:bookmarkStart w:id="145" w:name="_Toc159926945"/>
      <w:r>
        <w:t>6.4.3 VOCs原料存储和贮存</w:t>
      </w:r>
      <w:bookmarkEnd w:id="144"/>
      <w:bookmarkEnd w:id="145"/>
    </w:p>
    <w:p w14:paraId="21E1BA4D">
      <w:pPr>
        <w:ind w:firstLine="480"/>
        <w:rPr>
          <w:szCs w:val="28"/>
        </w:rPr>
      </w:pPr>
      <w:r>
        <w:rPr>
          <w:szCs w:val="28"/>
        </w:rPr>
        <w:t>（1）企业应根据物料合理选择储罐，罐体应保持完好，不应有漏洞、缝隙或破损。物料与罐型匹配选择见表6.4-1。</w:t>
      </w:r>
    </w:p>
    <w:p w14:paraId="60D115A8">
      <w:pPr>
        <w:ind w:firstLine="0" w:firstLineChars="0"/>
        <w:jc w:val="center"/>
        <w:rPr>
          <w:b/>
          <w:bCs/>
          <w:szCs w:val="24"/>
        </w:rPr>
      </w:pPr>
      <w:r>
        <w:rPr>
          <w:b/>
          <w:bCs/>
          <w:szCs w:val="24"/>
        </w:rPr>
        <w:t>表6.4-1  物料与罐型匹配选择表</w:t>
      </w:r>
    </w:p>
    <w:p w14:paraId="0E6F8AD6">
      <w:pPr>
        <w:pStyle w:val="10"/>
        <w:spacing w:line="240" w:lineRule="auto"/>
        <w:jc w:val="both"/>
        <w:outlineLvl w:val="9"/>
        <w:rPr>
          <w:rFonts w:ascii="Times New Roman" w:hAnsi="Times New Roman" w:eastAsia="仿宋"/>
          <w:spacing w:val="-4"/>
          <w:lang w:eastAsia="zh-CN"/>
        </w:rPr>
      </w:pPr>
      <w:r>
        <w:rPr>
          <w:rFonts w:ascii="Times New Roman" w:hAnsi="Times New Roman" w:eastAsia="仿宋"/>
          <w:lang w:eastAsia="zh-CN"/>
        </w:rPr>
        <w:drawing>
          <wp:inline distT="0" distB="0" distL="0" distR="0">
            <wp:extent cx="5551805" cy="1021715"/>
            <wp:effectExtent l="0" t="0" r="0" b="6985"/>
            <wp:docPr id="6823392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339221"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51805" cy="1021715"/>
                    </a:xfrm>
                    <a:prstGeom prst="rect">
                      <a:avLst/>
                    </a:prstGeom>
                    <a:noFill/>
                    <a:ln>
                      <a:noFill/>
                    </a:ln>
                  </pic:spPr>
                </pic:pic>
              </a:graphicData>
            </a:graphic>
          </wp:inline>
        </w:drawing>
      </w:r>
    </w:p>
    <w:p w14:paraId="76E82282">
      <w:pPr>
        <w:ind w:firstLine="480"/>
        <w:rPr>
          <w:szCs w:val="28"/>
        </w:rPr>
      </w:pPr>
      <w:r>
        <w:rPr>
          <w:szCs w:val="28"/>
        </w:rPr>
        <w:t>（2）内浮顶罐的浮盘与罐壁之间应采用液体镶嵌式、机械式鞋形、双封式等高效密封方式；外浮顶罐的浮盘与罐壁之间应采用双封式密封，且初级密封采用液体镶嵌式、机械式鞋形等高效密封方式。</w:t>
      </w:r>
    </w:p>
    <w:p w14:paraId="1F802AB0">
      <w:pPr>
        <w:ind w:firstLine="480"/>
        <w:rPr>
          <w:szCs w:val="28"/>
        </w:rPr>
      </w:pPr>
      <w:r>
        <w:rPr>
          <w:szCs w:val="28"/>
        </w:rPr>
        <w:t>（3）固定顶罐应当安装密闭排气系统至有机废气回收或处理装置，有机废气收集处理并满足相关行业排放标准的要求（无行业排放标准的应满足GB 16297的要求），或者处理效率不低于</w:t>
      </w:r>
      <w:r>
        <w:rPr>
          <w:rFonts w:hint="eastAsia"/>
          <w:szCs w:val="28"/>
        </w:rPr>
        <w:t>8</w:t>
      </w:r>
      <w:r>
        <w:rPr>
          <w:szCs w:val="28"/>
        </w:rPr>
        <w:t>0%。</w:t>
      </w:r>
    </w:p>
    <w:p w14:paraId="0BB82292">
      <w:pPr>
        <w:ind w:firstLine="480"/>
        <w:rPr>
          <w:szCs w:val="28"/>
        </w:rPr>
      </w:pPr>
      <w:r>
        <w:rPr>
          <w:szCs w:val="28"/>
        </w:rPr>
        <w:t>（4）浮顶罐浮盘上的开口、缝隙密封设施，以及浮盘与罐壁之间的密封设施在工作状态下应保持密闭。应至少每6个月检查一次浮盘，记录浮盘密封设施的状态，记录应保存至少3年以上。</w:t>
      </w:r>
    </w:p>
    <w:p w14:paraId="1CAC2320">
      <w:pPr>
        <w:pStyle w:val="5"/>
        <w:tabs>
          <w:tab w:val="left" w:pos="645"/>
          <w:tab w:val="left" w:pos="2115"/>
        </w:tabs>
        <w:spacing w:before="0" w:after="0"/>
      </w:pPr>
      <w:bookmarkStart w:id="146" w:name="_Toc146006744"/>
      <w:bookmarkStart w:id="147" w:name="_Toc159926946"/>
      <w:r>
        <w:t>6.4.4 原料、产品装卸和输送</w:t>
      </w:r>
      <w:bookmarkEnd w:id="146"/>
      <w:bookmarkEnd w:id="147"/>
    </w:p>
    <w:p w14:paraId="354FA5CA">
      <w:pPr>
        <w:ind w:firstLine="480"/>
        <w:rPr>
          <w:szCs w:val="28"/>
        </w:rPr>
      </w:pPr>
      <w:r>
        <w:rPr>
          <w:szCs w:val="28"/>
        </w:rPr>
        <w:t>（1）挥发性有机液体宜采用管道输送，减少中间罐区停留以及罐车装卸作业。采用非管道方式转移输送时，宜采用密闭容器、罐车。</w:t>
      </w:r>
    </w:p>
    <w:p w14:paraId="448EAAE0">
      <w:pPr>
        <w:ind w:firstLine="480"/>
        <w:rPr>
          <w:szCs w:val="28"/>
        </w:rPr>
      </w:pPr>
      <w:r>
        <w:rPr>
          <w:szCs w:val="28"/>
        </w:rPr>
        <w:t>（2）挥发性有机液体宜采用底部装载方式，接头采用密封式快速接头或锁紧式接头。无法实现底部装载的应采用带有机械锁紧式密封油管的顶部浸没式装载方式，出口距离罐底高度应小于200 mm。</w:t>
      </w:r>
    </w:p>
    <w:p w14:paraId="479CA59A">
      <w:pPr>
        <w:ind w:firstLine="480"/>
        <w:rPr>
          <w:szCs w:val="28"/>
        </w:rPr>
      </w:pPr>
      <w:r>
        <w:rPr>
          <w:szCs w:val="28"/>
        </w:rPr>
        <w:t>（3）挥发性有机液体装载时，宜采用气相平衡系统，减少VOCs排放。无气相平衡系统，应配备相应的挥发性有机气体回收系统，回收系统可采用深冷、吸附-回收、膜分离等技术或组合技术，处理后废气应满足相关行业排放标准的要求（无行业排放标准的应满足GB 16297的要求），或者处理效率不低于</w:t>
      </w:r>
      <w:r>
        <w:rPr>
          <w:rFonts w:hint="eastAsia"/>
          <w:szCs w:val="28"/>
        </w:rPr>
        <w:t>8</w:t>
      </w:r>
      <w:r>
        <w:rPr>
          <w:szCs w:val="28"/>
        </w:rPr>
        <w:t>0%。</w:t>
      </w:r>
    </w:p>
    <w:p w14:paraId="171F5139">
      <w:pPr>
        <w:pStyle w:val="5"/>
        <w:tabs>
          <w:tab w:val="left" w:pos="645"/>
          <w:tab w:val="left" w:pos="2115"/>
        </w:tabs>
        <w:spacing w:before="0" w:after="0"/>
      </w:pPr>
      <w:bookmarkStart w:id="148" w:name="_Toc159926947"/>
      <w:bookmarkStart w:id="149" w:name="_Toc146006745"/>
      <w:r>
        <w:t>6.4.5 物料投加及转移</w:t>
      </w:r>
      <w:bookmarkEnd w:id="148"/>
      <w:bookmarkEnd w:id="149"/>
    </w:p>
    <w:p w14:paraId="2999EF45">
      <w:pPr>
        <w:ind w:firstLine="480"/>
        <w:rPr>
          <w:szCs w:val="28"/>
        </w:rPr>
      </w:pPr>
      <w:r>
        <w:rPr>
          <w:szCs w:val="28"/>
        </w:rPr>
        <w:t>（1）液体投料应采用底部给料或使用浸入管给料方式，投料和出料均应设密封装置或密闭区域，不能实现密闭的应采用负压排气并收集至废气处理系统处理。</w:t>
      </w:r>
    </w:p>
    <w:p w14:paraId="49CC0863">
      <w:pPr>
        <w:ind w:firstLine="480"/>
        <w:rPr>
          <w:szCs w:val="28"/>
        </w:rPr>
      </w:pPr>
      <w:r>
        <w:rPr>
          <w:szCs w:val="28"/>
        </w:rPr>
        <w:t>（2）固体投料应采用自动投料系统、螺旋推进式投料系统等密闭投料装置。若难以实现密闭投料的，应设密封装置或密闭区域后，采用负压排气将投料尾气有效收集至VOCs废气处理系统。</w:t>
      </w:r>
    </w:p>
    <w:p w14:paraId="449AE808">
      <w:pPr>
        <w:ind w:firstLine="480"/>
        <w:rPr>
          <w:szCs w:val="28"/>
        </w:rPr>
      </w:pPr>
      <w:r>
        <w:rPr>
          <w:szCs w:val="28"/>
        </w:rPr>
        <w:t>（3）设备与设备之间的物料转移，应优先在设计环节使设备形成高差，使物料直接通过管道以重力流方式进行转移。</w:t>
      </w:r>
    </w:p>
    <w:p w14:paraId="4511B29E">
      <w:pPr>
        <w:ind w:firstLine="480"/>
        <w:rPr>
          <w:szCs w:val="28"/>
        </w:rPr>
      </w:pPr>
      <w:r>
        <w:rPr>
          <w:szCs w:val="28"/>
        </w:rPr>
        <w:t>（4）使用真空系统实施物料转移的，宜采用干式真空泵，真空排气应排至VOCs废气收集处理系统。若使用液环（水环）真空泵、水（水蒸气）喷射真空泵等，工作介质的循环槽（罐）应密闭，真空排气、循环槽（罐）排气应排至VOCs废气收集处理系统。</w:t>
      </w:r>
    </w:p>
    <w:p w14:paraId="1EE0789D">
      <w:pPr>
        <w:ind w:firstLine="0" w:firstLineChars="0"/>
        <w:jc w:val="center"/>
        <w:rPr>
          <w:b/>
          <w:bCs/>
          <w:szCs w:val="28"/>
        </w:rPr>
      </w:pPr>
      <w:r>
        <w:rPr>
          <w:b/>
          <w:bCs/>
          <w:szCs w:val="28"/>
        </w:rPr>
        <w:t>表</w:t>
      </w:r>
      <w:r>
        <w:rPr>
          <w:rFonts w:hint="eastAsia"/>
          <w:b/>
          <w:bCs/>
          <w:szCs w:val="28"/>
        </w:rPr>
        <w:t>6</w:t>
      </w:r>
      <w:r>
        <w:rPr>
          <w:b/>
          <w:bCs/>
          <w:szCs w:val="28"/>
        </w:rPr>
        <w:t>.</w:t>
      </w:r>
      <w:r>
        <w:rPr>
          <w:rFonts w:hint="eastAsia"/>
          <w:b/>
          <w:bCs/>
          <w:szCs w:val="28"/>
        </w:rPr>
        <w:t>4</w:t>
      </w:r>
      <w:r>
        <w:rPr>
          <w:b/>
          <w:bCs/>
          <w:szCs w:val="28"/>
        </w:rPr>
        <w:t>-</w:t>
      </w:r>
      <w:r>
        <w:rPr>
          <w:rFonts w:hint="eastAsia"/>
          <w:b/>
          <w:bCs/>
          <w:szCs w:val="28"/>
        </w:rPr>
        <w:t>2</w:t>
      </w:r>
      <w:r>
        <w:rPr>
          <w:b/>
          <w:bCs/>
          <w:szCs w:val="28"/>
        </w:rPr>
        <w:t xml:space="preserve">  常用物料投加及转移方式</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106"/>
        <w:gridCol w:w="3315"/>
        <w:gridCol w:w="2763"/>
        <w:gridCol w:w="1114"/>
      </w:tblGrid>
      <w:tr w14:paraId="38C65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9" w:type="pct"/>
            <w:vAlign w:val="center"/>
          </w:tcPr>
          <w:p w14:paraId="32EC48DB">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输料过程</w:t>
            </w:r>
          </w:p>
        </w:tc>
        <w:tc>
          <w:tcPr>
            <w:tcW w:w="617" w:type="pct"/>
            <w:vAlign w:val="center"/>
          </w:tcPr>
          <w:p w14:paraId="28E23119">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技术名称</w:t>
            </w:r>
          </w:p>
        </w:tc>
        <w:tc>
          <w:tcPr>
            <w:tcW w:w="1850" w:type="pct"/>
            <w:vAlign w:val="center"/>
          </w:tcPr>
          <w:p w14:paraId="7C87332B">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技术原理</w:t>
            </w:r>
          </w:p>
        </w:tc>
        <w:tc>
          <w:tcPr>
            <w:tcW w:w="1542" w:type="pct"/>
            <w:vAlign w:val="center"/>
          </w:tcPr>
          <w:p w14:paraId="2200854E">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技术特点</w:t>
            </w:r>
          </w:p>
        </w:tc>
        <w:tc>
          <w:tcPr>
            <w:tcW w:w="622" w:type="pct"/>
            <w:vAlign w:val="center"/>
          </w:tcPr>
          <w:p w14:paraId="3FFD73D0">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技术适用性</w:t>
            </w:r>
          </w:p>
        </w:tc>
      </w:tr>
      <w:tr w14:paraId="719E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restart"/>
            <w:vAlign w:val="center"/>
          </w:tcPr>
          <w:p w14:paraId="39222996">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投料</w:t>
            </w:r>
          </w:p>
        </w:tc>
        <w:tc>
          <w:tcPr>
            <w:tcW w:w="617" w:type="pct"/>
            <w:vAlign w:val="center"/>
          </w:tcPr>
          <w:p w14:paraId="5C8E4332">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储罐-管道化-计量装置-投料</w:t>
            </w:r>
          </w:p>
        </w:tc>
        <w:tc>
          <w:tcPr>
            <w:tcW w:w="1850" w:type="pct"/>
            <w:vAlign w:val="center"/>
          </w:tcPr>
          <w:p w14:paraId="393068D5">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在储罐区和车间反应釜之间实现管道化送料，并设流量计量装置，物料计量后输送至反应釜</w:t>
            </w:r>
          </w:p>
        </w:tc>
        <w:tc>
          <w:tcPr>
            <w:tcW w:w="1542" w:type="pct"/>
            <w:vAlign w:val="center"/>
          </w:tcPr>
          <w:p w14:paraId="137A01E4">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自动化水平较高、废气产生量较少，但投资成本相对较高，存在物料计量精确度不高的现象</w:t>
            </w:r>
          </w:p>
        </w:tc>
        <w:tc>
          <w:tcPr>
            <w:tcW w:w="622" w:type="pct"/>
            <w:vAlign w:val="center"/>
          </w:tcPr>
          <w:p w14:paraId="0A9CEACF">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适用于液体类物料</w:t>
            </w:r>
          </w:p>
        </w:tc>
      </w:tr>
      <w:tr w14:paraId="535F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continue"/>
            <w:vAlign w:val="center"/>
          </w:tcPr>
          <w:p w14:paraId="7BFB5B65">
            <w:pPr>
              <w:pStyle w:val="52"/>
              <w:spacing w:line="240" w:lineRule="auto"/>
              <w:ind w:firstLine="0" w:firstLineChars="0"/>
              <w:jc w:val="center"/>
              <w:rPr>
                <w:rFonts w:ascii="Times New Roman" w:hAnsi="Times New Roman" w:eastAsia="仿宋"/>
                <w:sz w:val="18"/>
                <w:szCs w:val="18"/>
              </w:rPr>
            </w:pPr>
          </w:p>
        </w:tc>
        <w:tc>
          <w:tcPr>
            <w:tcW w:w="617" w:type="pct"/>
            <w:vAlign w:val="center"/>
          </w:tcPr>
          <w:p w14:paraId="552B0493">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储罐-中间罐-高位槽-投料</w:t>
            </w:r>
          </w:p>
        </w:tc>
        <w:tc>
          <w:tcPr>
            <w:tcW w:w="1850" w:type="pct"/>
            <w:vAlign w:val="center"/>
          </w:tcPr>
          <w:p w14:paraId="4A1C474A">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在生产车间外设中间储罐，储罐区物料管道化泵送至中间储罐，再泵送至车间反应釜的高位槽，由高位槽计量后投料</w:t>
            </w:r>
          </w:p>
        </w:tc>
        <w:tc>
          <w:tcPr>
            <w:tcW w:w="1542" w:type="pct"/>
            <w:vAlign w:val="center"/>
          </w:tcPr>
          <w:p w14:paraId="5286763A">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料计量精确度较高，但相较储罐区直接管道化投料增加中间环节，增加废气产生量</w:t>
            </w:r>
          </w:p>
        </w:tc>
        <w:tc>
          <w:tcPr>
            <w:tcW w:w="622" w:type="pct"/>
            <w:vAlign w:val="center"/>
          </w:tcPr>
          <w:p w14:paraId="251D7CA3">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适用于液体类物料</w:t>
            </w:r>
          </w:p>
        </w:tc>
      </w:tr>
      <w:tr w14:paraId="432F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continue"/>
            <w:vAlign w:val="center"/>
          </w:tcPr>
          <w:p w14:paraId="64FB9D46">
            <w:pPr>
              <w:pStyle w:val="52"/>
              <w:spacing w:line="240" w:lineRule="auto"/>
              <w:ind w:firstLine="0" w:firstLineChars="0"/>
              <w:jc w:val="center"/>
              <w:rPr>
                <w:rFonts w:ascii="Times New Roman" w:hAnsi="Times New Roman" w:eastAsia="仿宋"/>
                <w:sz w:val="18"/>
                <w:szCs w:val="18"/>
              </w:rPr>
            </w:pPr>
          </w:p>
        </w:tc>
        <w:tc>
          <w:tcPr>
            <w:tcW w:w="617" w:type="pct"/>
            <w:vAlign w:val="center"/>
          </w:tcPr>
          <w:p w14:paraId="0ABF212A">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桶装-正压-投料</w:t>
            </w:r>
          </w:p>
        </w:tc>
        <w:tc>
          <w:tcPr>
            <w:tcW w:w="1850" w:type="pct"/>
            <w:vAlign w:val="center"/>
          </w:tcPr>
          <w:p w14:paraId="28985799">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对桶装物料施加正压气源（输送介质），将物料通过管道输送至反应釜</w:t>
            </w:r>
          </w:p>
        </w:tc>
        <w:tc>
          <w:tcPr>
            <w:tcW w:w="1542" w:type="pct"/>
            <w:vAlign w:val="center"/>
          </w:tcPr>
          <w:p w14:paraId="079AAF7C">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投资成本低，但密闭化程度低，但相较桶装-负压泵投料，废气污染较小</w:t>
            </w:r>
          </w:p>
        </w:tc>
        <w:tc>
          <w:tcPr>
            <w:tcW w:w="622" w:type="pct"/>
            <w:vAlign w:val="center"/>
          </w:tcPr>
          <w:p w14:paraId="180E0E2F">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适用于液体类物料</w:t>
            </w:r>
          </w:p>
        </w:tc>
      </w:tr>
      <w:tr w14:paraId="76394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continue"/>
            <w:vAlign w:val="center"/>
          </w:tcPr>
          <w:p w14:paraId="28A011F2">
            <w:pPr>
              <w:pStyle w:val="52"/>
              <w:spacing w:line="240" w:lineRule="auto"/>
              <w:ind w:firstLine="0" w:firstLineChars="0"/>
              <w:jc w:val="center"/>
              <w:rPr>
                <w:rFonts w:ascii="Times New Roman" w:hAnsi="Times New Roman" w:eastAsia="仿宋"/>
                <w:sz w:val="18"/>
                <w:szCs w:val="18"/>
              </w:rPr>
            </w:pPr>
          </w:p>
        </w:tc>
        <w:tc>
          <w:tcPr>
            <w:tcW w:w="617" w:type="pct"/>
            <w:vAlign w:val="center"/>
          </w:tcPr>
          <w:p w14:paraId="15CF4A73">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密闭式重力流投料</w:t>
            </w:r>
          </w:p>
        </w:tc>
        <w:tc>
          <w:tcPr>
            <w:tcW w:w="1850" w:type="pct"/>
            <w:vAlign w:val="center"/>
          </w:tcPr>
          <w:p w14:paraId="0D3B703A">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在直接投料的基础上增加一个加料设备，并进行密闭化改进，加料时打开反应系统连接废气收集系统的阀门，使物料在重力作用下自动加入至反应系统</w:t>
            </w:r>
          </w:p>
        </w:tc>
        <w:tc>
          <w:tcPr>
            <w:tcW w:w="1542" w:type="pct"/>
            <w:vAlign w:val="center"/>
          </w:tcPr>
          <w:p w14:paraId="590CE0C6">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能有效收集加料过程逸出的废气</w:t>
            </w:r>
          </w:p>
        </w:tc>
        <w:tc>
          <w:tcPr>
            <w:tcW w:w="622" w:type="pct"/>
            <w:vAlign w:val="center"/>
          </w:tcPr>
          <w:p w14:paraId="312C21B9">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适用于固体类物料</w:t>
            </w:r>
          </w:p>
        </w:tc>
      </w:tr>
      <w:tr w14:paraId="2E6C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continue"/>
            <w:vAlign w:val="center"/>
          </w:tcPr>
          <w:p w14:paraId="7CF5EE6F">
            <w:pPr>
              <w:pStyle w:val="52"/>
              <w:spacing w:line="240" w:lineRule="auto"/>
              <w:ind w:firstLine="0" w:firstLineChars="0"/>
              <w:jc w:val="center"/>
              <w:rPr>
                <w:rFonts w:ascii="Times New Roman" w:hAnsi="Times New Roman" w:eastAsia="仿宋"/>
                <w:sz w:val="18"/>
                <w:szCs w:val="18"/>
              </w:rPr>
            </w:pPr>
          </w:p>
        </w:tc>
        <w:tc>
          <w:tcPr>
            <w:tcW w:w="617" w:type="pct"/>
            <w:vAlign w:val="center"/>
          </w:tcPr>
          <w:p w14:paraId="38E7C487">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真空上料式投料</w:t>
            </w:r>
          </w:p>
        </w:tc>
        <w:tc>
          <w:tcPr>
            <w:tcW w:w="1850" w:type="pct"/>
            <w:vAlign w:val="center"/>
          </w:tcPr>
          <w:p w14:paraId="117E1712">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通过压缩空气使真空发生器产生高真空，产生负压状态，从而实现物料被吸入反应系统</w:t>
            </w:r>
          </w:p>
        </w:tc>
        <w:tc>
          <w:tcPr>
            <w:tcW w:w="1542" w:type="pct"/>
            <w:vAlign w:val="center"/>
          </w:tcPr>
          <w:p w14:paraId="3E49E0D0">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具有混合均匀、结构简单、体积小、能实现自动化和密闭化控制、废气便于收集等优点。但相比密闭式重力流技术产生的废气量较大</w:t>
            </w:r>
          </w:p>
        </w:tc>
        <w:tc>
          <w:tcPr>
            <w:tcW w:w="622" w:type="pct"/>
            <w:vAlign w:val="center"/>
          </w:tcPr>
          <w:p w14:paraId="3BBE1BEA">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适用于各类物料</w:t>
            </w:r>
          </w:p>
        </w:tc>
      </w:tr>
      <w:tr w14:paraId="17CDD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restart"/>
            <w:vAlign w:val="center"/>
          </w:tcPr>
          <w:p w14:paraId="390979A6">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转料</w:t>
            </w:r>
          </w:p>
        </w:tc>
        <w:tc>
          <w:tcPr>
            <w:tcW w:w="617" w:type="pct"/>
            <w:vAlign w:val="center"/>
          </w:tcPr>
          <w:p w14:paraId="2040AB78">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密闭重力流转料</w:t>
            </w:r>
          </w:p>
        </w:tc>
        <w:tc>
          <w:tcPr>
            <w:tcW w:w="1850" w:type="pct"/>
            <w:vAlign w:val="center"/>
          </w:tcPr>
          <w:p w14:paraId="736CB2E6">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利用接料反应釜和送料反应釜的高位差，使物料通过重力流作用到达接料反应釜</w:t>
            </w:r>
          </w:p>
        </w:tc>
        <w:tc>
          <w:tcPr>
            <w:tcW w:w="1542" w:type="pct"/>
            <w:vAlign w:val="center"/>
          </w:tcPr>
          <w:p w14:paraId="19FF4FBE">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具有节能、废气排放小等优点，但是对反应车间层高要求足够高</w:t>
            </w:r>
          </w:p>
        </w:tc>
        <w:tc>
          <w:tcPr>
            <w:tcW w:w="622" w:type="pct"/>
            <w:vAlign w:val="center"/>
          </w:tcPr>
          <w:p w14:paraId="4AD434E1">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适用于各种物料</w:t>
            </w:r>
          </w:p>
        </w:tc>
      </w:tr>
      <w:tr w14:paraId="5004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continue"/>
            <w:vAlign w:val="center"/>
          </w:tcPr>
          <w:p w14:paraId="2BD0F1E4">
            <w:pPr>
              <w:pStyle w:val="52"/>
              <w:spacing w:line="240" w:lineRule="auto"/>
              <w:ind w:firstLine="0" w:firstLineChars="0"/>
              <w:jc w:val="center"/>
              <w:rPr>
                <w:rFonts w:ascii="Times New Roman" w:hAnsi="Times New Roman" w:eastAsia="仿宋"/>
                <w:sz w:val="18"/>
                <w:szCs w:val="18"/>
              </w:rPr>
            </w:pPr>
          </w:p>
        </w:tc>
        <w:tc>
          <w:tcPr>
            <w:tcW w:w="617" w:type="pct"/>
            <w:vAlign w:val="center"/>
          </w:tcPr>
          <w:p w14:paraId="3F84EDC9">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管道正压泵转料</w:t>
            </w:r>
          </w:p>
        </w:tc>
        <w:tc>
          <w:tcPr>
            <w:tcW w:w="1850" w:type="pct"/>
            <w:vAlign w:val="center"/>
          </w:tcPr>
          <w:p w14:paraId="06E72198">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对送料反应釜施加正压气源（输送介质），将物料通过管道输送至接料反应釜</w:t>
            </w:r>
          </w:p>
        </w:tc>
        <w:tc>
          <w:tcPr>
            <w:tcW w:w="1542" w:type="pct"/>
            <w:vAlign w:val="center"/>
          </w:tcPr>
          <w:p w14:paraId="03C8614F">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可以一点对多点输送，具有输送量大，输送距离长，操作稳定的优点，且相对负压输料方法，正压式输料造成的环境污染较小</w:t>
            </w:r>
          </w:p>
        </w:tc>
        <w:tc>
          <w:tcPr>
            <w:tcW w:w="622" w:type="pct"/>
            <w:vAlign w:val="center"/>
          </w:tcPr>
          <w:p w14:paraId="04C7FCE1">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适用于液体物料</w:t>
            </w:r>
          </w:p>
        </w:tc>
      </w:tr>
      <w:tr w14:paraId="55769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69" w:type="pct"/>
            <w:vMerge w:val="continue"/>
            <w:vAlign w:val="center"/>
          </w:tcPr>
          <w:p w14:paraId="193B6120">
            <w:pPr>
              <w:pStyle w:val="52"/>
              <w:spacing w:line="240" w:lineRule="auto"/>
              <w:ind w:firstLine="0" w:firstLineChars="0"/>
              <w:jc w:val="center"/>
              <w:rPr>
                <w:rFonts w:ascii="Times New Roman" w:hAnsi="Times New Roman" w:eastAsia="仿宋"/>
                <w:sz w:val="18"/>
                <w:szCs w:val="18"/>
              </w:rPr>
            </w:pPr>
          </w:p>
        </w:tc>
        <w:tc>
          <w:tcPr>
            <w:tcW w:w="617" w:type="pct"/>
            <w:vAlign w:val="center"/>
          </w:tcPr>
          <w:p w14:paraId="2109D3C3">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中转罐（桶）-正压泵转料</w:t>
            </w:r>
          </w:p>
        </w:tc>
        <w:tc>
          <w:tcPr>
            <w:tcW w:w="1850" w:type="pct"/>
            <w:vAlign w:val="center"/>
          </w:tcPr>
          <w:p w14:paraId="69A2314E">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对送料反应釜施加正压气源（输送介质），将物料通过管道输送至中转罐（桶）</w:t>
            </w:r>
          </w:p>
        </w:tc>
        <w:tc>
          <w:tcPr>
            <w:tcW w:w="1542" w:type="pct"/>
            <w:vAlign w:val="center"/>
          </w:tcPr>
          <w:p w14:paraId="7E9C50EF">
            <w:pPr>
              <w:pStyle w:val="52"/>
              <w:spacing w:line="240" w:lineRule="auto"/>
              <w:ind w:firstLine="0" w:firstLineChars="0"/>
              <w:jc w:val="center"/>
              <w:rPr>
                <w:rFonts w:ascii="Times New Roman" w:hAnsi="Times New Roman" w:eastAsia="仿宋"/>
                <w:sz w:val="18"/>
                <w:szCs w:val="18"/>
                <w:lang w:eastAsia="zh-CN"/>
              </w:rPr>
            </w:pPr>
            <w:r>
              <w:rPr>
                <w:rFonts w:ascii="Times New Roman" w:hAnsi="Times New Roman" w:eastAsia="仿宋"/>
                <w:sz w:val="18"/>
                <w:szCs w:val="18"/>
                <w:lang w:eastAsia="zh-CN"/>
              </w:rPr>
              <w:t>投资成本低，但相较中转罐（桶）-负压泵投料，废气污染较小</w:t>
            </w:r>
          </w:p>
        </w:tc>
        <w:tc>
          <w:tcPr>
            <w:tcW w:w="622" w:type="pct"/>
            <w:vAlign w:val="center"/>
          </w:tcPr>
          <w:p w14:paraId="5530AA3D">
            <w:pPr>
              <w:pStyle w:val="52"/>
              <w:spacing w:line="240" w:lineRule="auto"/>
              <w:ind w:firstLine="0" w:firstLineChars="0"/>
              <w:jc w:val="center"/>
              <w:rPr>
                <w:rFonts w:ascii="Times New Roman" w:hAnsi="Times New Roman" w:eastAsia="仿宋"/>
                <w:sz w:val="18"/>
                <w:szCs w:val="18"/>
              </w:rPr>
            </w:pPr>
            <w:r>
              <w:rPr>
                <w:rFonts w:ascii="Times New Roman" w:hAnsi="Times New Roman" w:eastAsia="仿宋"/>
                <w:sz w:val="18"/>
                <w:szCs w:val="18"/>
              </w:rPr>
              <w:t>适用于液体物料</w:t>
            </w:r>
          </w:p>
        </w:tc>
      </w:tr>
    </w:tbl>
    <w:p w14:paraId="5246DFA8">
      <w:pPr>
        <w:pStyle w:val="5"/>
        <w:tabs>
          <w:tab w:val="left" w:pos="645"/>
          <w:tab w:val="left" w:pos="2115"/>
        </w:tabs>
        <w:spacing w:before="0" w:after="0"/>
      </w:pPr>
      <w:bookmarkStart w:id="150" w:name="_Toc22713472"/>
      <w:bookmarkStart w:id="151" w:name="_Toc159926948"/>
      <w:bookmarkStart w:id="152" w:name="_Toc146006746"/>
      <w:r>
        <w:t xml:space="preserve">6.4.6 </w:t>
      </w:r>
      <w:bookmarkEnd w:id="150"/>
      <w:r>
        <w:t>混合及反应</w:t>
      </w:r>
      <w:bookmarkEnd w:id="151"/>
      <w:bookmarkEnd w:id="152"/>
    </w:p>
    <w:p w14:paraId="7C764579">
      <w:pPr>
        <w:ind w:firstLine="480"/>
        <w:rPr>
          <w:szCs w:val="28"/>
        </w:rPr>
      </w:pPr>
      <w:r>
        <w:rPr>
          <w:szCs w:val="28"/>
        </w:rPr>
        <w:t>（1）采用先进的生产工艺和装备，物料混合和反应过程均应采用密闭体系。</w:t>
      </w:r>
    </w:p>
    <w:p w14:paraId="4167E6DC">
      <w:pPr>
        <w:ind w:firstLine="480"/>
        <w:rPr>
          <w:szCs w:val="28"/>
        </w:rPr>
      </w:pPr>
      <w:r>
        <w:rPr>
          <w:szCs w:val="28"/>
        </w:rPr>
        <w:t>（2）设置密闭取样分析系统，减少取样过程的无组织排放。若不能采用密闭式采样方式时，应及时收集、有效处理冲洗管线的有机液体或气体。</w:t>
      </w:r>
    </w:p>
    <w:p w14:paraId="5540EFFC">
      <w:pPr>
        <w:pStyle w:val="5"/>
        <w:tabs>
          <w:tab w:val="left" w:pos="645"/>
          <w:tab w:val="left" w:pos="2115"/>
        </w:tabs>
        <w:spacing w:before="0" w:after="0"/>
      </w:pPr>
      <w:bookmarkStart w:id="153" w:name="_Toc159926949"/>
      <w:bookmarkStart w:id="154" w:name="_Toc146006747"/>
      <w:r>
        <w:t>6.4.7 物料分离与干燥</w:t>
      </w:r>
      <w:bookmarkEnd w:id="153"/>
      <w:bookmarkEnd w:id="154"/>
    </w:p>
    <w:p w14:paraId="09483FF0">
      <w:pPr>
        <w:ind w:firstLine="480"/>
        <w:rPr>
          <w:szCs w:val="28"/>
        </w:rPr>
      </w:pPr>
      <w:r>
        <w:rPr>
          <w:szCs w:val="28"/>
        </w:rPr>
        <w:t>（1）涉及易挥发有机溶剂的固液分离不得采用敞口设备，优先采用垂直布置流程，选用“离心/压滤－洗涤”二合一或“离心/压滤－洗涤－干燥”三合一的设备，通过合理布置实现全封闭生产。现有企业也可采用全自动隔膜式压滤机、全密闭压滤罐或下出料离心机等封闭性好的固液分离设备。</w:t>
      </w:r>
    </w:p>
    <w:p w14:paraId="7E1A6A5E">
      <w:pPr>
        <w:ind w:firstLine="480"/>
        <w:rPr>
          <w:szCs w:val="28"/>
        </w:rPr>
      </w:pPr>
      <w:r>
        <w:rPr>
          <w:szCs w:val="28"/>
        </w:rPr>
        <w:t>（2）采用密闭式上出料离心机时，如物料散发无组织废气。则应设置独立的密闭间，并收集废气后接入废气处理系统处理压滤和离心产生的母液须密闭收集，母液槽的呼吸排气应设置平衡管或密闭收集后接入废气处理系统处理。</w:t>
      </w:r>
    </w:p>
    <w:p w14:paraId="5A1C28BF">
      <w:pPr>
        <w:ind w:firstLine="480"/>
        <w:rPr>
          <w:szCs w:val="28"/>
        </w:rPr>
      </w:pPr>
      <w:r>
        <w:rPr>
          <w:szCs w:val="28"/>
        </w:rPr>
        <w:t>（3）宜使用“三合一”干燥设备、双（单）锥真空干燥机、闪蒸干燥机或喷雾干燥机等先进干燥设备。</w:t>
      </w:r>
    </w:p>
    <w:p w14:paraId="038BD89C">
      <w:pPr>
        <w:ind w:firstLine="480"/>
        <w:rPr>
          <w:szCs w:val="28"/>
        </w:rPr>
      </w:pPr>
      <w:r>
        <w:rPr>
          <w:szCs w:val="28"/>
        </w:rPr>
        <w:t>（4）活性、酸性、阳离子染料和增白剂等水溶性染料的制备，应原浆直接干燥，或通过膜过滤提高染料纯度及固含量后直接干燥。</w:t>
      </w:r>
    </w:p>
    <w:p w14:paraId="1E5C6EDD">
      <w:pPr>
        <w:ind w:firstLine="480"/>
        <w:rPr>
          <w:szCs w:val="28"/>
        </w:rPr>
      </w:pPr>
      <w:r>
        <w:rPr>
          <w:szCs w:val="28"/>
        </w:rPr>
        <w:t>（5）对于恶臭类物料，应冷却至室温后再包装，防止物料热出料过程挥发产生大量废气；出料应采用全密闭包装系统，无法满足的企业须在包装点设置集气罩或将包装区隔离换风，收集后送废气处理系统处理。</w:t>
      </w:r>
    </w:p>
    <w:p w14:paraId="4E74683C">
      <w:pPr>
        <w:ind w:firstLine="480"/>
        <w:rPr>
          <w:sz w:val="22"/>
        </w:rPr>
      </w:pPr>
      <w:r>
        <w:rPr>
          <w:szCs w:val="28"/>
        </w:rPr>
        <w:t>（6）干燥过程中产生的VOCs废气须冷凝回收有效成份后接入废气处理系统处理，鼓励干燥尾气冷却除湿后循环回用，以进一步回收热值并减少排放。</w:t>
      </w:r>
    </w:p>
    <w:p w14:paraId="04541C13">
      <w:pPr>
        <w:pStyle w:val="5"/>
        <w:tabs>
          <w:tab w:val="left" w:pos="645"/>
          <w:tab w:val="left" w:pos="2115"/>
        </w:tabs>
        <w:spacing w:before="0" w:after="0"/>
      </w:pPr>
      <w:bookmarkStart w:id="155" w:name="_Toc22713473"/>
      <w:bookmarkStart w:id="156" w:name="_Toc159926950"/>
      <w:bookmarkStart w:id="157" w:name="_Toc146006748"/>
      <w:r>
        <w:t xml:space="preserve">6.4.8 </w:t>
      </w:r>
      <w:bookmarkEnd w:id="155"/>
      <w:r>
        <w:t>废水收集与处理</w:t>
      </w:r>
      <w:bookmarkEnd w:id="156"/>
      <w:bookmarkEnd w:id="157"/>
    </w:p>
    <w:p w14:paraId="412B9C11">
      <w:pPr>
        <w:ind w:firstLine="480"/>
        <w:rPr>
          <w:szCs w:val="28"/>
        </w:rPr>
      </w:pPr>
      <w:r>
        <w:rPr>
          <w:szCs w:val="28"/>
        </w:rPr>
        <w:t>（1）废水应采用密闭管道输送，接入口和排出口采取与环境空气隔离的措施；采用沟渠输送，敞开液面上方100 mm处VOCs检测浓度</w:t>
      </w:r>
      <w:r>
        <w:rPr>
          <w:rFonts w:hint="eastAsia" w:ascii="宋体" w:hAnsi="宋体" w:eastAsia="宋体" w:cs="宋体"/>
          <w:szCs w:val="28"/>
        </w:rPr>
        <w:t>≧</w:t>
      </w:r>
      <w:r>
        <w:rPr>
          <w:szCs w:val="28"/>
        </w:rPr>
        <w:t>100 μmol/mol时，应加盖密闭，接入口和排出口采取与环境空气隔离的措施。</w:t>
      </w:r>
    </w:p>
    <w:p w14:paraId="64AF6D54">
      <w:pPr>
        <w:ind w:firstLine="480"/>
        <w:rPr>
          <w:szCs w:val="28"/>
        </w:rPr>
      </w:pPr>
      <w:r>
        <w:rPr>
          <w:szCs w:val="28"/>
        </w:rPr>
        <w:t>（2）车间中转池、污水站调节池、物化处理池、厌（缺）氧处理池、好氧处理池前段和污泥浓缩池等易产生恶臭气体的单元须加盖密闭，废气须收集处理。</w:t>
      </w:r>
    </w:p>
    <w:p w14:paraId="5B833EC6">
      <w:pPr>
        <w:ind w:firstLine="480"/>
        <w:rPr>
          <w:szCs w:val="28"/>
        </w:rPr>
      </w:pPr>
      <w:r>
        <w:rPr>
          <w:szCs w:val="28"/>
        </w:rPr>
        <w:t>（3）湿污泥鼓励采用高压全自动隔膜压滤机压滤，宜采用内衬塑料薄膜袋的编织袋密闭包装，污泥干燥尾气应充分冷凝并密闭收集，污泥压滤、干燥和暂存间宜密闭收集处理。</w:t>
      </w:r>
    </w:p>
    <w:p w14:paraId="5B1F2205">
      <w:pPr>
        <w:pStyle w:val="5"/>
        <w:tabs>
          <w:tab w:val="left" w:pos="645"/>
          <w:tab w:val="left" w:pos="2115"/>
        </w:tabs>
        <w:spacing w:before="0" w:after="0"/>
      </w:pPr>
      <w:bookmarkStart w:id="158" w:name="_Toc22713475"/>
      <w:bookmarkStart w:id="159" w:name="_Toc159926951"/>
      <w:bookmarkStart w:id="160" w:name="_Toc146006749"/>
      <w:r>
        <w:t xml:space="preserve">6.4.9 </w:t>
      </w:r>
      <w:bookmarkEnd w:id="158"/>
      <w:r>
        <w:t>危废储存</w:t>
      </w:r>
      <w:bookmarkEnd w:id="159"/>
      <w:bookmarkEnd w:id="160"/>
    </w:p>
    <w:p w14:paraId="38A5734D">
      <w:pPr>
        <w:ind w:firstLine="480"/>
        <w:rPr>
          <w:szCs w:val="28"/>
        </w:rPr>
      </w:pPr>
      <w:r>
        <w:rPr>
          <w:szCs w:val="28"/>
        </w:rPr>
        <w:t>（1）厂内的暂存危废应参照危险化学品进行良好包装。其中液态危废采用储罐、防渗的密闭地槽或外观整洁良好的密闭包装桶等，固态危废应采用内衬塑料薄膜袋的编织袋密闭包装，半固态危废综合考虑其性状进行合理包装。</w:t>
      </w:r>
    </w:p>
    <w:p w14:paraId="34B03831">
      <w:pPr>
        <w:ind w:firstLine="480"/>
        <w:rPr>
          <w:szCs w:val="28"/>
        </w:rPr>
      </w:pPr>
      <w:r>
        <w:rPr>
          <w:szCs w:val="28"/>
        </w:rPr>
        <w:t>（2）由于不良包装导致危废储存间产生严重异味，或超过厂区VOCs控制要求的，应对危废储存间进行密闭收集处理。</w:t>
      </w:r>
    </w:p>
    <w:p w14:paraId="530AE5B5">
      <w:pPr>
        <w:pStyle w:val="5"/>
        <w:tabs>
          <w:tab w:val="left" w:pos="645"/>
          <w:tab w:val="left" w:pos="2115"/>
        </w:tabs>
        <w:spacing w:before="0" w:after="0"/>
      </w:pPr>
      <w:bookmarkStart w:id="161" w:name="_Toc159926952"/>
      <w:bookmarkStart w:id="162" w:name="_Toc146006750"/>
      <w:r>
        <w:t>6.4.10 非正常工况</w:t>
      </w:r>
      <w:bookmarkEnd w:id="161"/>
      <w:bookmarkEnd w:id="162"/>
    </w:p>
    <w:p w14:paraId="002146AA">
      <w:pPr>
        <w:ind w:firstLine="480"/>
        <w:rPr>
          <w:szCs w:val="28"/>
        </w:rPr>
      </w:pPr>
      <w:r>
        <w:rPr>
          <w:szCs w:val="28"/>
        </w:rPr>
        <w:t>（1）制定开停工（车）、检维修、生产异常等非正常工况的操作规程和污染控制措施。</w:t>
      </w:r>
    </w:p>
    <w:p w14:paraId="77694860">
      <w:pPr>
        <w:ind w:firstLine="480"/>
        <w:rPr>
          <w:szCs w:val="28"/>
        </w:rPr>
      </w:pPr>
      <w:r>
        <w:rPr>
          <w:szCs w:val="28"/>
        </w:rPr>
        <w:t>（2）载有VOCs物料的设备及管道在开停工（车）、检维修和清洗时，应在退料阶段将残存物料退净，并用密闭容器盛装，退料过程废气应排至VOCs废气处理系统；清洗及吹扫过程排气应排至VOCs废气收集处理系统。</w:t>
      </w:r>
    </w:p>
    <w:p w14:paraId="068596D0">
      <w:pPr>
        <w:pStyle w:val="4"/>
        <w:tabs>
          <w:tab w:val="left" w:pos="433"/>
        </w:tabs>
        <w:spacing w:before="0" w:after="0"/>
        <w:rPr>
          <w:rFonts w:ascii="Times New Roman" w:hAnsi="Times New Roman"/>
          <w:szCs w:val="24"/>
        </w:rPr>
      </w:pPr>
      <w:bookmarkStart w:id="163" w:name="_Toc159926953"/>
      <w:r>
        <w:rPr>
          <w:rFonts w:ascii="Times New Roman" w:hAnsi="Times New Roman"/>
          <w:szCs w:val="24"/>
        </w:rPr>
        <w:t>6.5 污染治理技术</w:t>
      </w:r>
      <w:bookmarkEnd w:id="163"/>
    </w:p>
    <w:p w14:paraId="16814D6C">
      <w:pPr>
        <w:pStyle w:val="5"/>
        <w:tabs>
          <w:tab w:val="left" w:pos="645"/>
          <w:tab w:val="left" w:pos="2115"/>
        </w:tabs>
        <w:spacing w:before="0" w:after="0"/>
      </w:pPr>
      <w:bookmarkStart w:id="164" w:name="_Toc159926954"/>
      <w:r>
        <w:t>6.5.1 一般原则</w:t>
      </w:r>
      <w:bookmarkEnd w:id="164"/>
    </w:p>
    <w:p w14:paraId="2C44DDF7">
      <w:pPr>
        <w:ind w:firstLine="480"/>
        <w:rPr>
          <w:szCs w:val="28"/>
        </w:rPr>
      </w:pPr>
      <w:r>
        <w:rPr>
          <w:szCs w:val="28"/>
        </w:rPr>
        <w:t>（1）VOCs的治理可以采用冷凝、吸收、吸附、燃烧、膜分离、生物技术，或者是上述技术的组合。</w:t>
      </w:r>
    </w:p>
    <w:p w14:paraId="6D4E19BF">
      <w:pPr>
        <w:ind w:firstLine="480"/>
        <w:rPr>
          <w:szCs w:val="28"/>
        </w:rPr>
      </w:pPr>
      <w:r>
        <w:rPr>
          <w:szCs w:val="28"/>
        </w:rPr>
        <w:t>（2）VOCs治理方案的选择，应综合考虑各方面因素，重视废气资源属性和能源属性，加强回收和综合利用，选择技术成熟、可靠节能、经济适用、符合实际、风险可控，能稳定运行且达到排放标准的最佳方案。应充分考虑废气治理装置异常和事故时的废气排放控制和处理。</w:t>
      </w:r>
    </w:p>
    <w:p w14:paraId="44EF020A">
      <w:pPr>
        <w:ind w:firstLine="480"/>
        <w:rPr>
          <w:szCs w:val="28"/>
        </w:rPr>
      </w:pPr>
      <w:r>
        <w:rPr>
          <w:szCs w:val="28"/>
        </w:rPr>
        <w:t>a）高浓度VOCs废气（通常为＞30000 mg/m</w:t>
      </w:r>
      <w:r>
        <w:rPr>
          <w:szCs w:val="28"/>
          <w:vertAlign w:val="superscript"/>
        </w:rPr>
        <w:t>3</w:t>
      </w:r>
      <w:r>
        <w:rPr>
          <w:szCs w:val="28"/>
        </w:rPr>
        <w:t>），宜采用吸收、冷凝、吸附、膜分离等组合技术回收处理，不能达标时再辅以燃烧技术实现达标排放。</w:t>
      </w:r>
    </w:p>
    <w:p w14:paraId="5893DF11">
      <w:pPr>
        <w:ind w:firstLine="480"/>
        <w:rPr>
          <w:szCs w:val="28"/>
        </w:rPr>
      </w:pPr>
      <w:r>
        <w:rPr>
          <w:szCs w:val="28"/>
        </w:rPr>
        <w:t>b）中高浓度VOCs废气（通常为3000～30000 mg/m</w:t>
      </w:r>
      <w:r>
        <w:rPr>
          <w:szCs w:val="28"/>
          <w:vertAlign w:val="superscript"/>
        </w:rPr>
        <w:t>3</w:t>
      </w:r>
      <w:r>
        <w:rPr>
          <w:szCs w:val="28"/>
        </w:rPr>
        <w:t>），有回收价值时宜采用吸收技术回收处理，无回收价值时宜采用燃烧技术。</w:t>
      </w:r>
    </w:p>
    <w:p w14:paraId="78235D70">
      <w:pPr>
        <w:ind w:firstLine="480"/>
        <w:rPr>
          <w:szCs w:val="28"/>
        </w:rPr>
      </w:pPr>
      <w:r>
        <w:rPr>
          <w:szCs w:val="28"/>
        </w:rPr>
        <w:t>c）中低浓度VOCs废气（通常为＜3000 mg/m</w:t>
      </w:r>
      <w:r>
        <w:rPr>
          <w:szCs w:val="28"/>
          <w:vertAlign w:val="superscript"/>
        </w:rPr>
        <w:t>3</w:t>
      </w:r>
      <w:r>
        <w:rPr>
          <w:szCs w:val="28"/>
        </w:rPr>
        <w:t>），宜采用生物技术、燃烧技术、吸附浓缩－燃烧技术等。</w:t>
      </w:r>
    </w:p>
    <w:p w14:paraId="6B19E505">
      <w:pPr>
        <w:ind w:firstLine="480"/>
        <w:rPr>
          <w:szCs w:val="28"/>
        </w:rPr>
      </w:pPr>
      <w:r>
        <w:rPr>
          <w:szCs w:val="28"/>
        </w:rPr>
        <w:t>（3）不得仅采用水或水溶液洗涤吸收方式处理含非水溶性组分的废气。</w:t>
      </w:r>
    </w:p>
    <w:p w14:paraId="176EC3F0">
      <w:pPr>
        <w:ind w:firstLine="480"/>
        <w:rPr>
          <w:szCs w:val="28"/>
        </w:rPr>
      </w:pPr>
      <w:r>
        <w:rPr>
          <w:szCs w:val="28"/>
        </w:rPr>
        <w:t>（4）高浓度废气不宜直接与大风量、低浓度废气混合，含VOCs废气不宜与含颗粒物等其他污染物的废气混合。</w:t>
      </w:r>
    </w:p>
    <w:p w14:paraId="6884BD2E">
      <w:pPr>
        <w:ind w:firstLine="480"/>
        <w:rPr>
          <w:szCs w:val="28"/>
        </w:rPr>
      </w:pPr>
      <w:r>
        <w:rPr>
          <w:szCs w:val="28"/>
        </w:rPr>
        <w:t>（5）VOCs治理设施应符合安全生产及事故防范的相关要求。</w:t>
      </w:r>
    </w:p>
    <w:p w14:paraId="1C6C0F71">
      <w:pPr>
        <w:pStyle w:val="5"/>
        <w:tabs>
          <w:tab w:val="left" w:pos="645"/>
          <w:tab w:val="left" w:pos="2115"/>
        </w:tabs>
        <w:spacing w:before="0" w:after="0"/>
      </w:pPr>
      <w:bookmarkStart w:id="165" w:name="_Toc159926955"/>
      <w:bookmarkStart w:id="166" w:name="_Toc146006753"/>
      <w:r>
        <w:t>6.5.2 冷凝技术</w:t>
      </w:r>
      <w:bookmarkEnd w:id="165"/>
      <w:bookmarkEnd w:id="166"/>
    </w:p>
    <w:p w14:paraId="67DDBE09">
      <w:pPr>
        <w:ind w:firstLine="480"/>
        <w:rPr>
          <w:szCs w:val="28"/>
        </w:rPr>
      </w:pPr>
      <w:r>
        <w:rPr>
          <w:szCs w:val="28"/>
        </w:rPr>
        <w:t>将废气降温至VOCs露点以下，使废气中VOCs组分凝结为液态，并与废气分离，简称冷凝技术。该技术适合处理高浓度废气，特别是组分单一且回收价值高的VOCs，可处理含有大量水蒸气的高温废气。当VOCs含量较高时，该技术可作为燃烧或吸附处理的预处理工段，能降低后续净化装置的操作负荷。优点是可以回收有价值的VOCs。缺点是对废气的处理程度受到冷凝温度限制，对低沸点或低浓度废气效果不佳，能耗和处理成本高。</w:t>
      </w:r>
    </w:p>
    <w:p w14:paraId="54F1DFF8">
      <w:pPr>
        <w:ind w:firstLine="480"/>
        <w:rPr>
          <w:szCs w:val="28"/>
        </w:rPr>
      </w:pPr>
      <w:r>
        <w:rPr>
          <w:szCs w:val="28"/>
        </w:rPr>
        <w:t>化工行业含卤代烃废气采用的典型治理技术路线为“大孔树脂吸附-脱附+冷凝回收”。采用该技术能够产生经济效益，卤代烃或其他VOCs回收量越大，经济效益越明显。</w:t>
      </w:r>
    </w:p>
    <w:p w14:paraId="18ACAEAC">
      <w:pPr>
        <w:pStyle w:val="5"/>
        <w:tabs>
          <w:tab w:val="left" w:pos="645"/>
          <w:tab w:val="left" w:pos="2115"/>
        </w:tabs>
        <w:spacing w:before="0" w:after="0"/>
      </w:pPr>
      <w:bookmarkStart w:id="167" w:name="_Toc159926956"/>
      <w:bookmarkStart w:id="168" w:name="_Toc146006754"/>
      <w:r>
        <w:t>6.5.3 喷淋吸收技术</w:t>
      </w:r>
      <w:bookmarkEnd w:id="167"/>
      <w:bookmarkEnd w:id="168"/>
    </w:p>
    <w:p w14:paraId="1E32B61A">
      <w:pPr>
        <w:ind w:firstLine="480"/>
        <w:rPr>
          <w:szCs w:val="28"/>
        </w:rPr>
      </w:pPr>
      <w:r>
        <w:rPr>
          <w:szCs w:val="28"/>
        </w:rPr>
        <w:t>该技术适用于有机化工行业水溶性、酸碱性废气或污染站废气的治理。使废气中的污染物与吸收剂充分接触，从而达到污染物去除的目的，根据吸收原理的不同，喷淋吸收法可分为物理吸收和化学吸收。有机化工行业常采用的喷淋吸收技术包括水喷淋吸收与化学喷淋吸收。</w:t>
      </w:r>
    </w:p>
    <w:p w14:paraId="4EA39AED">
      <w:pPr>
        <w:ind w:firstLine="480"/>
        <w:rPr>
          <w:szCs w:val="28"/>
        </w:rPr>
      </w:pPr>
      <w:r>
        <w:rPr>
          <w:szCs w:val="28"/>
        </w:rPr>
        <w:t>（1）水喷淋吸收</w:t>
      </w:r>
    </w:p>
    <w:p w14:paraId="65D5F733">
      <w:pPr>
        <w:ind w:firstLine="480"/>
        <w:rPr>
          <w:szCs w:val="28"/>
        </w:rPr>
      </w:pPr>
      <w:r>
        <w:rPr>
          <w:szCs w:val="28"/>
        </w:rPr>
        <w:t>该技术适用于有机化工行业水溶性废气的治理。利用醇、醚、醛等组分易溶于水的特点，在废气通过水喷淋塔时，易溶解组分被喷淋液吸收，达到净化目的。该方法对不溶于水的VOCs组分不具吸收作用。</w:t>
      </w:r>
    </w:p>
    <w:p w14:paraId="5BED9CA5">
      <w:pPr>
        <w:ind w:firstLine="480"/>
        <w:rPr>
          <w:szCs w:val="28"/>
        </w:rPr>
      </w:pPr>
      <w:r>
        <w:rPr>
          <w:szCs w:val="28"/>
        </w:rPr>
        <w:t>（2）化学喷淋吸收</w:t>
      </w:r>
    </w:p>
    <w:p w14:paraId="06FC0CC6">
      <w:pPr>
        <w:ind w:firstLine="480"/>
        <w:rPr>
          <w:szCs w:val="28"/>
        </w:rPr>
      </w:pPr>
      <w:r>
        <w:rPr>
          <w:szCs w:val="28"/>
        </w:rPr>
        <w:t>该技术适用于有机化工行业污水站或酸碱废气治理。利用恶臭组分或酸、碱组分易于吸收剂发生化学反应的特点，在废气通过化学喷淋塔时，恶臭组分或酸、碱组分与吸收剂反应，达到净化目的。</w:t>
      </w:r>
    </w:p>
    <w:p w14:paraId="3BD5C928">
      <w:pPr>
        <w:pStyle w:val="5"/>
        <w:tabs>
          <w:tab w:val="left" w:pos="645"/>
          <w:tab w:val="left" w:pos="2115"/>
        </w:tabs>
        <w:spacing w:before="0" w:after="0"/>
      </w:pPr>
      <w:bookmarkStart w:id="169" w:name="_Toc159926957"/>
      <w:bookmarkStart w:id="170" w:name="_Toc146006755"/>
      <w:r>
        <w:t>6.5.4 吸附技术</w:t>
      </w:r>
      <w:bookmarkEnd w:id="169"/>
      <w:bookmarkEnd w:id="170"/>
    </w:p>
    <w:p w14:paraId="6641456A">
      <w:pPr>
        <w:ind w:firstLine="480"/>
        <w:rPr>
          <w:szCs w:val="28"/>
        </w:rPr>
      </w:pPr>
      <w:r>
        <w:rPr>
          <w:szCs w:val="28"/>
        </w:rPr>
        <w:t>该技术利用吸附剂（活性炭、活性炭纤维、分子筛等）吸附废气中的VOCs污染物，使之与废气分离，简称吸附技术，主要包括固定床吸附技术、移动床吸附技术、流化床吸附技术、旋转式吸附技术。有机化工行业常用的吸附技术为固定床吸附技术和旋转式吸附技术。配套吸附处理单元的含尘、含气溶胶、高湿废气、高温废气，应事先采用高效除尘、除雾装置、冷却装置等进行预处理。</w:t>
      </w:r>
    </w:p>
    <w:p w14:paraId="7D33545C">
      <w:pPr>
        <w:ind w:firstLine="480"/>
        <w:rPr>
          <w:szCs w:val="28"/>
        </w:rPr>
      </w:pPr>
      <w:r>
        <w:rPr>
          <w:szCs w:val="28"/>
        </w:rPr>
        <w:t>（1）固定床吸附技术</w:t>
      </w:r>
    </w:p>
    <w:p w14:paraId="5A59CC6A">
      <w:pPr>
        <w:ind w:firstLine="480"/>
        <w:rPr>
          <w:szCs w:val="28"/>
        </w:rPr>
      </w:pPr>
      <w:r>
        <w:rPr>
          <w:szCs w:val="28"/>
        </w:rPr>
        <w:t>该技术适用于有机化工行业含卤代烃或其他低浓度VOCs废气的治理。吸附过程中吸附剂床层处于静止状态，对废气中的VOCs污染物进行吸附分离。含卤代烃废气一般使用大孔树脂作为吸附剂，其他低浓度废气一般使用活性炭作为吸附剂。应根据污染物处理量、处理要求等定时再生或更换吸附剂以保证治理设施的去除效率。入口废气颗粒物浓度宜低于1 mg/m</w:t>
      </w:r>
      <w:r>
        <w:rPr>
          <w:szCs w:val="28"/>
          <w:vertAlign w:val="superscript"/>
        </w:rPr>
        <w:t>3</w:t>
      </w:r>
      <w:r>
        <w:rPr>
          <w:szCs w:val="28"/>
        </w:rPr>
        <w:t>，温度宜低于40℃，相对湿度（RH）宜低于80%。若废气中的污染物易在活性炭存在时发生聚合、交联、氧化等反应，不宜采用活性炭吸附技术。该技术的技术参数应满足HJ 2026的相关要求。吸附材料通过解吸而循环利用，脱附的VOCs可通过冷凝技术进行回收或通过燃烧技术进行销毁。</w:t>
      </w:r>
    </w:p>
    <w:p w14:paraId="07225342">
      <w:pPr>
        <w:ind w:firstLine="480"/>
        <w:rPr>
          <w:szCs w:val="28"/>
        </w:rPr>
      </w:pPr>
      <w:r>
        <w:rPr>
          <w:szCs w:val="28"/>
        </w:rPr>
        <w:t>（2）旋转式吸附技术</w:t>
      </w:r>
    </w:p>
    <w:p w14:paraId="7304257A">
      <w:pPr>
        <w:ind w:firstLine="480"/>
        <w:rPr>
          <w:szCs w:val="28"/>
        </w:rPr>
      </w:pPr>
      <w:r>
        <w:rPr>
          <w:szCs w:val="28"/>
        </w:rPr>
        <w:t>该技术适用于有机化工行业工况相对连续稳定的低浓度废气收集后的预浓缩。吸附过程中废气与吸附剂床层呈相对旋转运动状态，对废气中的VOCs污染物进行吸附分离，一般包括转轮式、转筒（塔）式。有机化工行业一般使用分子筛作为吸附剂，用于低浓度VOCs废气的预浓缩，脱附废气一般采用催化燃烧或蓄热燃烧技术进行治理。入口废气颗粒物浓度宜低于1 mg/m</w:t>
      </w:r>
      <w:r>
        <w:rPr>
          <w:szCs w:val="28"/>
          <w:vertAlign w:val="superscript"/>
        </w:rPr>
        <w:t>3</w:t>
      </w:r>
      <w:r>
        <w:rPr>
          <w:szCs w:val="28"/>
        </w:rPr>
        <w:t>，温度宜低于40℃，相对湿度（RH）宜低于80%。该技术的技术参数应满足HJ 2026的相关要求。转轮中沸石分子筛含量不宜低于50%（wt%），设计风速不宜高于3.5 m/s，转轮厚度不宜低于400 mm。</w:t>
      </w:r>
    </w:p>
    <w:p w14:paraId="3DFF7D2D">
      <w:pPr>
        <w:pStyle w:val="5"/>
        <w:tabs>
          <w:tab w:val="left" w:pos="645"/>
          <w:tab w:val="left" w:pos="2115"/>
        </w:tabs>
        <w:spacing w:before="0" w:after="0"/>
      </w:pPr>
      <w:bookmarkStart w:id="171" w:name="_Toc146006756"/>
      <w:bookmarkStart w:id="172" w:name="_Toc159926958"/>
      <w:r>
        <w:t>6.5.5 燃烧技术</w:t>
      </w:r>
      <w:bookmarkEnd w:id="171"/>
      <w:bookmarkEnd w:id="172"/>
    </w:p>
    <w:p w14:paraId="528AB2E4">
      <w:pPr>
        <w:ind w:firstLine="480"/>
        <w:rPr>
          <w:szCs w:val="28"/>
        </w:rPr>
      </w:pPr>
      <w:r>
        <w:rPr>
          <w:szCs w:val="28"/>
        </w:rPr>
        <w:t>通过热力燃烧或催化燃烧的方式，使废气中的VOCs污染物反应转化为二氧化碳、水等物质，简称燃烧技术，有机化工行业常用的燃烧技术包括热力燃烧技术（TO）、蓄热燃烧技术（RTO）、催化燃烧技术（CO）、蓄热催化燃烧技术（RCO）。处理含腐蚀性废气，应采用高效水喷淋装置、酸/碱喷淋吸收装置等进行预处理。应控制进入燃烧系统的废气中卤化物的含量，可采用大孔树脂吸附等工艺进行预处理。</w:t>
      </w:r>
    </w:p>
    <w:p w14:paraId="18D5EA9F">
      <w:pPr>
        <w:ind w:firstLine="480"/>
        <w:rPr>
          <w:szCs w:val="28"/>
        </w:rPr>
      </w:pPr>
      <w:r>
        <w:rPr>
          <w:szCs w:val="28"/>
        </w:rPr>
        <w:t>（1）热力燃烧技术（TO）</w:t>
      </w:r>
    </w:p>
    <w:p w14:paraId="6946EEAC">
      <w:pPr>
        <w:ind w:firstLine="480"/>
        <w:rPr>
          <w:szCs w:val="28"/>
        </w:rPr>
      </w:pPr>
      <w:r>
        <w:rPr>
          <w:szCs w:val="28"/>
        </w:rPr>
        <w:t>该技术适用于有机化工行业高浓度VOCs废气的治理。该技术采用燃烧的方法使废气中的VOCs污染物反应转化为二氧化碳、水等物质。该技术产生的高温废气宜进行热能回收，并用于烘干工序。该技术优点是结构简单、投资小，气体净化效率高。缺点是处理低浓度废气时运行成本高、能耗高</w:t>
      </w:r>
    </w:p>
    <w:p w14:paraId="436CDA24">
      <w:pPr>
        <w:ind w:firstLine="480"/>
        <w:rPr>
          <w:szCs w:val="28"/>
        </w:rPr>
      </w:pPr>
      <w:r>
        <w:rPr>
          <w:szCs w:val="28"/>
        </w:rPr>
        <w:t>（2）蓄热燃烧技术（RTO）</w:t>
      </w:r>
    </w:p>
    <w:p w14:paraId="229A951B">
      <w:pPr>
        <w:ind w:firstLine="480"/>
        <w:rPr>
          <w:szCs w:val="28"/>
        </w:rPr>
      </w:pPr>
      <w:r>
        <w:rPr>
          <w:szCs w:val="28"/>
        </w:rPr>
        <w:t>该技术适用有机化工行业中、高浓度VOCs废气的治理。采用燃烧的方法使废气中的VOCs污染物反应转化为二氧化碳、水等物质，并利用蓄热体对燃烧产生的热量蓄积、利用。无组织废气收集后，宜采用吸附技术进行预浓缩，再经RTO治理。采用固定换热床的RTO装置宜设计不少于三室，技术参数应满足HJ 1093的相关要求。该技术优点是系统弹性化，操作风量上下限范围大，热回收率能达到90%以上，VOCs去除效率能达到95%以上，连续运行稳定，操作运维简单，使用寿命较长。缺点是一次性投资成本高，装置体积大，运行成本较高，易反应、易聚合的有机物以及含卤素的废气不宜采用该技术。</w:t>
      </w:r>
    </w:p>
    <w:p w14:paraId="667B0569">
      <w:pPr>
        <w:ind w:firstLine="480"/>
        <w:rPr>
          <w:szCs w:val="28"/>
        </w:rPr>
      </w:pPr>
      <w:r>
        <w:rPr>
          <w:szCs w:val="28"/>
        </w:rPr>
        <w:t>（3）催化燃烧技术（CO）</w:t>
      </w:r>
    </w:p>
    <w:p w14:paraId="645919F3">
      <w:pPr>
        <w:ind w:firstLine="480"/>
        <w:rPr>
          <w:szCs w:val="28"/>
        </w:rPr>
      </w:pPr>
      <w:r>
        <w:rPr>
          <w:szCs w:val="28"/>
        </w:rPr>
        <w:t>该技术适用于有机化工行业中、高浓度VOCs废气的治理。在催化剂作用下，废气中的VOCs污染物反应转化为二氧化碳、水等物质。该技术优点是反应温度低、能耗低、不产生热力型NOx，处理净化效率能达到95%以上，操作方便。缺点是当废气中含有硫化物、卤化物、有机硅、有机磷等物质时，可能致催化剂中毒。该技术的技术参数应满足HJ 2027的相关要求。</w:t>
      </w:r>
    </w:p>
    <w:p w14:paraId="6392C2CC">
      <w:pPr>
        <w:ind w:firstLine="480"/>
        <w:rPr>
          <w:szCs w:val="28"/>
        </w:rPr>
      </w:pPr>
      <w:r>
        <w:rPr>
          <w:szCs w:val="28"/>
        </w:rPr>
        <w:t>（4）蓄热催化燃烧技术（RCO）</w:t>
      </w:r>
    </w:p>
    <w:p w14:paraId="1F835A70">
      <w:pPr>
        <w:ind w:firstLine="480"/>
        <w:rPr>
          <w:szCs w:val="28"/>
        </w:rPr>
      </w:pPr>
      <w:r>
        <w:rPr>
          <w:szCs w:val="28"/>
        </w:rPr>
        <w:t>该技术适用于有机化工行业中、高浓度VOCs废气的治理。在催化剂作用下，废气中的VOCs污染物反应转化为二氧化碳、水等物质，并利用蓄热体对反应产生的热量蓄积、利用。该技术优点是安全性高，运行成本较RTO低，热回收率能达到90%以上，VOCs去除效率能达到95%以上。缺点是当废气中含有硫化物、卤化物、有机硅、有机磷等物质时，可能致催化剂中毒，不宜处理温度高于450℃的废气。该技术的技术参数应满足HJ 2027相关要求。</w:t>
      </w:r>
    </w:p>
    <w:p w14:paraId="7EF57AA1">
      <w:pPr>
        <w:ind w:firstLine="480"/>
        <w:rPr>
          <w:szCs w:val="28"/>
        </w:rPr>
      </w:pPr>
      <w:r>
        <w:rPr>
          <w:szCs w:val="28"/>
        </w:rPr>
        <w:t>（5）锅炉/工艺炉热力燃烧技术</w:t>
      </w:r>
    </w:p>
    <w:p w14:paraId="42EE764A">
      <w:pPr>
        <w:ind w:firstLine="480"/>
        <w:rPr>
          <w:sz w:val="28"/>
          <w:szCs w:val="28"/>
        </w:rPr>
      </w:pPr>
      <w:r>
        <w:rPr>
          <w:szCs w:val="28"/>
        </w:rPr>
        <w:t>该技术适用有机化工行业低浓度VOCs废气的治理。将产生的VOCs直接引入到现有供电锅炉、供热锅炉、工艺加热炉或其它非废气处理专用的焚烧炉，采用燃烧的方法使废气中的VOCs污染物反应转化为二氧化碳、水等物质。该技术优点是充分利用现有设备，不额外增加占地面积和设备投资。缺点是需要采取周密的安全控制措施，需通过预处理稳定VOCs废气流量和浓度，还应考虑锅炉/工艺炉非正常工况时废气的去向。</w:t>
      </w:r>
    </w:p>
    <w:p w14:paraId="28B7E28D">
      <w:pPr>
        <w:pStyle w:val="5"/>
        <w:tabs>
          <w:tab w:val="left" w:pos="645"/>
          <w:tab w:val="left" w:pos="2115"/>
        </w:tabs>
        <w:spacing w:before="0" w:after="0"/>
      </w:pPr>
      <w:bookmarkStart w:id="173" w:name="_Toc146006757"/>
      <w:bookmarkStart w:id="174" w:name="_Toc159926959"/>
      <w:r>
        <w:t>6.5.6 膜分离技术</w:t>
      </w:r>
      <w:bookmarkEnd w:id="173"/>
      <w:bookmarkEnd w:id="174"/>
    </w:p>
    <w:p w14:paraId="73D3FB23">
      <w:pPr>
        <w:ind w:firstLine="480"/>
        <w:rPr>
          <w:szCs w:val="28"/>
        </w:rPr>
      </w:pPr>
      <w:r>
        <w:rPr>
          <w:szCs w:val="28"/>
        </w:rPr>
        <w:t>该技术利用膜表面超薄功能层（通常为硅橡胶）材质，在膜两侧压力差、浓度差的驱动下，利用不同气体分子透过膜的速度差异，实现VOCs在膜透过侧的富集，并实现气相主体的净化。适合高浓度油气回收与成分复杂VOCs废气的处理。该技术优点是具有过程连续、无放热、安全性好、不产生二次污染，适用性广，单位体积处理能力强。缺点是用于低浓度废气的深度处理时成本较高。</w:t>
      </w:r>
    </w:p>
    <w:p w14:paraId="14D4ADE2">
      <w:pPr>
        <w:pStyle w:val="5"/>
        <w:tabs>
          <w:tab w:val="left" w:pos="645"/>
          <w:tab w:val="left" w:pos="2115"/>
        </w:tabs>
        <w:spacing w:before="0" w:after="0"/>
      </w:pPr>
      <w:bookmarkStart w:id="175" w:name="_Toc146006758"/>
      <w:bookmarkStart w:id="176" w:name="_Toc159926960"/>
      <w:r>
        <w:t>6.5.7 生物技术</w:t>
      </w:r>
      <w:bookmarkEnd w:id="175"/>
      <w:bookmarkEnd w:id="176"/>
    </w:p>
    <w:p w14:paraId="039B41AE">
      <w:pPr>
        <w:ind w:firstLine="480"/>
        <w:rPr>
          <w:szCs w:val="28"/>
        </w:rPr>
      </w:pPr>
      <w:r>
        <w:rPr>
          <w:szCs w:val="28"/>
        </w:rPr>
        <w:t>该技术适用于有机化工行业污水站废气的治理。利用恶臭组分易生物降解的特点，在废气通过负载微生物的装置时，利用微生物降解废气中的恶臭组分。该技术优点是设备简单，运行成本低，对臭味气体处理效果明显。缺点是降解速度慢，净化效率较低，对芳香烃和苯系物去除效率低，对非水溶性物质无净化效果，占地面积大，生物菌培养条件严格，不易控制。</w:t>
      </w:r>
    </w:p>
    <w:p w14:paraId="656DFE14">
      <w:pPr>
        <w:pStyle w:val="4"/>
        <w:tabs>
          <w:tab w:val="left" w:pos="433"/>
        </w:tabs>
        <w:spacing w:before="0" w:after="0"/>
        <w:rPr>
          <w:rFonts w:ascii="Times New Roman" w:hAnsi="Times New Roman"/>
          <w:szCs w:val="24"/>
        </w:rPr>
      </w:pPr>
      <w:bookmarkStart w:id="177" w:name="_Toc146006759"/>
      <w:bookmarkStart w:id="178" w:name="_Toc159926961"/>
      <w:r>
        <w:rPr>
          <w:rFonts w:ascii="Times New Roman" w:hAnsi="Times New Roman"/>
          <w:szCs w:val="24"/>
        </w:rPr>
        <w:t>6.6 环境管理措施</w:t>
      </w:r>
      <w:bookmarkEnd w:id="177"/>
      <w:bookmarkEnd w:id="178"/>
    </w:p>
    <w:p w14:paraId="113F225B">
      <w:pPr>
        <w:ind w:firstLine="480"/>
        <w:rPr>
          <w:szCs w:val="28"/>
        </w:rPr>
      </w:pPr>
      <w:r>
        <w:rPr>
          <w:szCs w:val="28"/>
        </w:rPr>
        <w:t>（1）企业应按照HJ 944的要求建立台账，记录含VOCs原辅材料的名称、采购量、VOCs含量、使用量、回收量、废弃量、去向，废气收集系统的保养维护事项与主要操作参数，污染治理设施的工艺流程、运行参数、投运时间、启停时间，耗材更换时间和更换量，生产、VOCs治理设备与管线组件目视观察和LDAR工作，自行监测等情况。台账保存期限不少于3年。</w:t>
      </w:r>
    </w:p>
    <w:p w14:paraId="20BE93F6">
      <w:pPr>
        <w:ind w:firstLine="480"/>
        <w:rPr>
          <w:szCs w:val="28"/>
        </w:rPr>
      </w:pPr>
      <w:r>
        <w:rPr>
          <w:szCs w:val="28"/>
        </w:rPr>
        <w:t>（2）企业应按照GB/T 16157、HJ/T 397、GB 15562.1等要求，设计、建设、维护永久性采样口、采样测试平台和排污口标志。</w:t>
      </w:r>
    </w:p>
    <w:p w14:paraId="5986600A">
      <w:pPr>
        <w:ind w:firstLine="480"/>
        <w:rPr>
          <w:szCs w:val="28"/>
        </w:rPr>
      </w:pPr>
      <w:r>
        <w:rPr>
          <w:szCs w:val="28"/>
        </w:rPr>
        <w:t>（3）企业应按照相关要求开展自行监测。</w:t>
      </w:r>
    </w:p>
    <w:p w14:paraId="2DEF3C4D">
      <w:pPr>
        <w:ind w:firstLine="480"/>
        <w:rPr>
          <w:szCs w:val="28"/>
        </w:rPr>
      </w:pPr>
      <w:r>
        <w:rPr>
          <w:szCs w:val="28"/>
        </w:rPr>
        <w:t>（4）鼓励有条件的企业安装VOCs自动监控设备。</w:t>
      </w:r>
    </w:p>
    <w:p w14:paraId="05F525B5">
      <w:pPr>
        <w:ind w:firstLine="480"/>
        <w:rPr>
          <w:szCs w:val="28"/>
        </w:rPr>
      </w:pPr>
      <w:r>
        <w:rPr>
          <w:szCs w:val="28"/>
        </w:rPr>
        <w:t>（5）企业应按照相关法律法规、标准和技术规范等要求运行污染治理设施，并定期进行维护保养及维修，保证治理设施正常运行。污染物排放应符合DB 36/1101.2、GB 14554、GB16297、GB 37822、GB 37824等的要求。</w:t>
      </w:r>
    </w:p>
    <w:p w14:paraId="5FD0AC54">
      <w:pPr>
        <w:pStyle w:val="4"/>
        <w:tabs>
          <w:tab w:val="left" w:pos="433"/>
        </w:tabs>
        <w:spacing w:before="0" w:after="0"/>
        <w:rPr>
          <w:rFonts w:ascii="Times New Roman" w:hAnsi="Times New Roman"/>
          <w:szCs w:val="24"/>
        </w:rPr>
      </w:pPr>
      <w:bookmarkStart w:id="179" w:name="_Toc159926962"/>
      <w:bookmarkStart w:id="180" w:name="_Toc146006760"/>
      <w:bookmarkStart w:id="181" w:name="_Toc22713479"/>
      <w:r>
        <w:rPr>
          <w:rFonts w:ascii="Times New Roman" w:hAnsi="Times New Roman"/>
          <w:szCs w:val="24"/>
        </w:rPr>
        <w:t>6.7 VOCs污染可行技术</w:t>
      </w:r>
      <w:bookmarkEnd w:id="179"/>
      <w:bookmarkEnd w:id="180"/>
      <w:bookmarkEnd w:id="181"/>
    </w:p>
    <w:p w14:paraId="3C5349E2">
      <w:pPr>
        <w:ind w:firstLine="480"/>
        <w:rPr>
          <w:kern w:val="0"/>
          <w:szCs w:val="21"/>
        </w:rPr>
      </w:pPr>
      <w:r>
        <w:rPr>
          <w:rFonts w:hint="eastAsia"/>
          <w:szCs w:val="28"/>
        </w:rPr>
        <w:t>有机化工行业常见的VOCs污染防治可行技术见表</w:t>
      </w:r>
      <w:r>
        <w:rPr>
          <w:szCs w:val="28"/>
        </w:rPr>
        <w:t>6.7-1。</w:t>
      </w:r>
    </w:p>
    <w:p w14:paraId="4AB8B040">
      <w:pPr>
        <w:widowControl/>
        <w:spacing w:line="240" w:lineRule="auto"/>
        <w:ind w:firstLine="0" w:firstLineChars="0"/>
        <w:jc w:val="left"/>
        <w:rPr>
          <w:b/>
          <w:kern w:val="0"/>
          <w:szCs w:val="21"/>
        </w:rPr>
      </w:pPr>
      <w:r>
        <w:rPr>
          <w:b/>
        </w:rPr>
        <w:br w:type="page"/>
      </w:r>
    </w:p>
    <w:p w14:paraId="31A268D5">
      <w:pPr>
        <w:pStyle w:val="10"/>
        <w:tabs>
          <w:tab w:val="left" w:pos="578"/>
        </w:tabs>
        <w:spacing w:before="177"/>
        <w:jc w:val="center"/>
        <w:outlineLvl w:val="9"/>
        <w:rPr>
          <w:rFonts w:ascii="Times New Roman" w:hAnsi="Times New Roman" w:eastAsia="仿宋"/>
          <w:b/>
          <w:bCs/>
          <w:lang w:eastAsia="zh-CN"/>
        </w:rPr>
      </w:pPr>
      <w:r>
        <w:rPr>
          <w:rFonts w:ascii="Times New Roman" w:hAnsi="Times New Roman" w:eastAsia="仿宋"/>
          <w:b/>
          <w:lang w:eastAsia="zh-CN"/>
        </w:rPr>
        <w:t>表6.7-1  VOCs污染防治可行性技术</w:t>
      </w: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1"/>
        <w:gridCol w:w="7118"/>
      </w:tblGrid>
      <w:tr w14:paraId="64108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841" w:type="dxa"/>
            <w:tcBorders>
              <w:top w:val="single" w:color="000000" w:sz="4" w:space="0"/>
              <w:left w:val="single" w:color="000000" w:sz="4" w:space="0"/>
              <w:bottom w:val="single" w:color="000000" w:sz="4" w:space="0"/>
              <w:right w:val="single" w:color="000000" w:sz="4" w:space="0"/>
            </w:tcBorders>
          </w:tcPr>
          <w:p w14:paraId="605C3AC4">
            <w:pPr>
              <w:widowControl/>
              <w:autoSpaceDE w:val="0"/>
              <w:autoSpaceDN w:val="0"/>
              <w:spacing w:line="240" w:lineRule="auto"/>
              <w:ind w:firstLine="0" w:firstLineChars="0"/>
              <w:jc w:val="center"/>
              <w:rPr>
                <w:rFonts w:ascii="宋体" w:eastAsia="宋体"/>
                <w:kern w:val="0"/>
                <w:sz w:val="21"/>
                <w:szCs w:val="18"/>
              </w:rPr>
            </w:pPr>
            <w:r>
              <w:rPr>
                <w:rFonts w:hint="eastAsia" w:ascii="宋体" w:eastAsia="宋体"/>
                <w:kern w:val="0"/>
                <w:sz w:val="21"/>
                <w:szCs w:val="18"/>
              </w:rPr>
              <w:t>治理技术</w:t>
            </w:r>
          </w:p>
        </w:tc>
        <w:tc>
          <w:tcPr>
            <w:tcW w:w="7118" w:type="dxa"/>
            <w:tcBorders>
              <w:top w:val="single" w:color="000000" w:sz="4" w:space="0"/>
              <w:left w:val="single" w:color="000000" w:sz="4" w:space="0"/>
              <w:bottom w:val="single" w:color="000000" w:sz="4" w:space="0"/>
              <w:right w:val="single" w:color="000000" w:sz="4" w:space="0"/>
            </w:tcBorders>
          </w:tcPr>
          <w:p w14:paraId="49C87340">
            <w:pPr>
              <w:widowControl/>
              <w:autoSpaceDE w:val="0"/>
              <w:autoSpaceDN w:val="0"/>
              <w:spacing w:line="240" w:lineRule="auto"/>
              <w:ind w:firstLine="0" w:firstLineChars="0"/>
              <w:jc w:val="center"/>
              <w:rPr>
                <w:rFonts w:ascii="宋体" w:eastAsia="宋体"/>
                <w:kern w:val="0"/>
                <w:sz w:val="21"/>
                <w:szCs w:val="18"/>
              </w:rPr>
            </w:pPr>
            <w:r>
              <w:rPr>
                <w:rFonts w:hint="eastAsia" w:ascii="宋体" w:eastAsia="宋体"/>
                <w:kern w:val="0"/>
                <w:sz w:val="21"/>
                <w:szCs w:val="18"/>
              </w:rPr>
              <w:t>适用条件</w:t>
            </w:r>
          </w:p>
        </w:tc>
      </w:tr>
      <w:tr w14:paraId="04191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1" w:type="dxa"/>
            <w:tcBorders>
              <w:top w:val="single" w:color="000000" w:sz="4" w:space="0"/>
              <w:left w:val="single" w:color="000000" w:sz="4" w:space="0"/>
              <w:bottom w:val="single" w:color="000000" w:sz="4" w:space="0"/>
              <w:right w:val="single" w:color="000000" w:sz="4" w:space="0"/>
            </w:tcBorders>
          </w:tcPr>
          <w:p w14:paraId="5BB7260F">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冷凝回收+吸附/吸收/燃烧</w:t>
            </w:r>
          </w:p>
        </w:tc>
        <w:tc>
          <w:tcPr>
            <w:tcW w:w="7118" w:type="dxa"/>
            <w:tcBorders>
              <w:top w:val="single" w:color="000000" w:sz="4" w:space="0"/>
              <w:left w:val="single" w:color="000000" w:sz="4" w:space="0"/>
              <w:bottom w:val="single" w:color="000000" w:sz="4" w:space="0"/>
              <w:right w:val="single" w:color="000000" w:sz="4" w:space="0"/>
            </w:tcBorders>
          </w:tcPr>
          <w:p w14:paraId="5FBE6C47">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适用于提取、精制、干燥、蒸馏、合成、分离、溶剂回收等工序产生的高浓度VOCs废气，VOCs浓度</w:t>
            </w:r>
            <w:r>
              <w:rPr>
                <w:rFonts w:hint="eastAsia" w:ascii="宋体" w:hAnsi="宋体" w:eastAsia="宋体"/>
                <w:kern w:val="0"/>
                <w:sz w:val="21"/>
                <w:szCs w:val="18"/>
              </w:rPr>
              <w:t>&gt;</w:t>
            </w:r>
            <w:r>
              <w:rPr>
                <w:rFonts w:hint="eastAsia" w:ascii="宋体" w:eastAsia="宋体"/>
                <w:kern w:val="0"/>
                <w:sz w:val="21"/>
                <w:szCs w:val="18"/>
              </w:rPr>
              <w:t>1000 mg/m</w:t>
            </w:r>
            <w:r>
              <w:rPr>
                <w:rFonts w:hint="eastAsia" w:ascii="宋体" w:eastAsia="宋体"/>
                <w:kern w:val="0"/>
                <w:sz w:val="21"/>
                <w:szCs w:val="18"/>
                <w:vertAlign w:val="superscript"/>
              </w:rPr>
              <w:t>3</w:t>
            </w:r>
          </w:p>
        </w:tc>
      </w:tr>
      <w:tr w14:paraId="5EEE0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1" w:type="dxa"/>
            <w:tcBorders>
              <w:top w:val="single" w:color="000000" w:sz="4" w:space="0"/>
              <w:left w:val="single" w:color="000000" w:sz="4" w:space="0"/>
              <w:bottom w:val="single" w:color="000000" w:sz="4" w:space="0"/>
              <w:right w:val="single" w:color="000000" w:sz="4" w:space="0"/>
            </w:tcBorders>
          </w:tcPr>
          <w:p w14:paraId="4AB58F8D">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酸碱吸收+吸附</w:t>
            </w:r>
          </w:p>
        </w:tc>
        <w:tc>
          <w:tcPr>
            <w:tcW w:w="7118" w:type="dxa"/>
            <w:tcBorders>
              <w:top w:val="single" w:color="000000" w:sz="4" w:space="0"/>
              <w:left w:val="single" w:color="000000" w:sz="4" w:space="0"/>
              <w:bottom w:val="single" w:color="000000" w:sz="4" w:space="0"/>
              <w:right w:val="single" w:color="000000" w:sz="4" w:space="0"/>
            </w:tcBorders>
          </w:tcPr>
          <w:p w14:paraId="480A57ED">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适用于VOCs浓度&lt;1000 mg/m</w:t>
            </w:r>
            <w:r>
              <w:rPr>
                <w:rFonts w:hint="eastAsia" w:ascii="宋体" w:eastAsia="宋体"/>
                <w:kern w:val="0"/>
                <w:sz w:val="21"/>
                <w:szCs w:val="18"/>
                <w:vertAlign w:val="superscript"/>
              </w:rPr>
              <w:t>3</w:t>
            </w:r>
            <w:r>
              <w:rPr>
                <w:rFonts w:hint="eastAsia" w:ascii="宋体" w:eastAsia="宋体"/>
                <w:kern w:val="0"/>
                <w:sz w:val="21"/>
                <w:szCs w:val="18"/>
              </w:rPr>
              <w:t>的工艺废气的处理</w:t>
            </w:r>
          </w:p>
        </w:tc>
      </w:tr>
      <w:tr w14:paraId="4810F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1" w:type="dxa"/>
            <w:tcBorders>
              <w:top w:val="single" w:color="000000" w:sz="4" w:space="0"/>
              <w:left w:val="single" w:color="000000" w:sz="4" w:space="0"/>
              <w:bottom w:val="single" w:color="000000" w:sz="4" w:space="0"/>
              <w:right w:val="single" w:color="000000" w:sz="4" w:space="0"/>
            </w:tcBorders>
          </w:tcPr>
          <w:p w14:paraId="179BA90E">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直接燃烧法</w:t>
            </w:r>
          </w:p>
        </w:tc>
        <w:tc>
          <w:tcPr>
            <w:tcW w:w="7118" w:type="dxa"/>
            <w:tcBorders>
              <w:top w:val="single" w:color="000000" w:sz="4" w:space="0"/>
              <w:left w:val="single" w:color="000000" w:sz="4" w:space="0"/>
              <w:bottom w:val="single" w:color="000000" w:sz="4" w:space="0"/>
              <w:right w:val="single" w:color="000000" w:sz="4" w:space="0"/>
            </w:tcBorders>
          </w:tcPr>
          <w:p w14:paraId="73D05570">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适用于VOCs浓度</w:t>
            </w:r>
            <w:r>
              <w:rPr>
                <w:rFonts w:hint="eastAsia" w:ascii="宋体" w:hAnsi="宋体" w:eastAsia="宋体"/>
                <w:kern w:val="0"/>
                <w:sz w:val="21"/>
                <w:szCs w:val="18"/>
              </w:rPr>
              <w:t>&gt;</w:t>
            </w:r>
            <w:r>
              <w:rPr>
                <w:rFonts w:hint="eastAsia" w:ascii="宋体" w:eastAsia="宋体"/>
                <w:kern w:val="0"/>
                <w:sz w:val="21"/>
                <w:szCs w:val="18"/>
              </w:rPr>
              <w:t>1000 mg/m</w:t>
            </w:r>
            <w:r>
              <w:rPr>
                <w:rFonts w:hint="eastAsia" w:ascii="宋体" w:eastAsia="宋体"/>
                <w:kern w:val="0"/>
                <w:sz w:val="21"/>
                <w:szCs w:val="18"/>
                <w:vertAlign w:val="superscript"/>
              </w:rPr>
              <w:t>3</w:t>
            </w:r>
            <w:r>
              <w:rPr>
                <w:rFonts w:hint="eastAsia" w:ascii="宋体" w:eastAsia="宋体"/>
                <w:kern w:val="0"/>
                <w:sz w:val="21"/>
                <w:szCs w:val="18"/>
              </w:rPr>
              <w:t>废气的处理，不含或少含卤化物VOCs，焚烧温度不低于820℃</w:t>
            </w:r>
          </w:p>
        </w:tc>
      </w:tr>
      <w:tr w14:paraId="4A76A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1" w:type="dxa"/>
            <w:tcBorders>
              <w:top w:val="single" w:color="000000" w:sz="4" w:space="0"/>
              <w:left w:val="single" w:color="000000" w:sz="4" w:space="0"/>
              <w:bottom w:val="single" w:color="000000" w:sz="4" w:space="0"/>
              <w:right w:val="single" w:color="000000" w:sz="4" w:space="0"/>
            </w:tcBorders>
          </w:tcPr>
          <w:p w14:paraId="529F2A0D">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蓄热式燃烧法</w:t>
            </w:r>
          </w:p>
        </w:tc>
        <w:tc>
          <w:tcPr>
            <w:tcW w:w="7118" w:type="dxa"/>
            <w:tcBorders>
              <w:top w:val="single" w:color="000000" w:sz="4" w:space="0"/>
              <w:left w:val="single" w:color="000000" w:sz="4" w:space="0"/>
              <w:bottom w:val="single" w:color="000000" w:sz="4" w:space="0"/>
              <w:right w:val="single" w:color="000000" w:sz="4" w:space="0"/>
            </w:tcBorders>
          </w:tcPr>
          <w:p w14:paraId="4D77FF3B">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适用于VOCs浓度</w:t>
            </w:r>
            <w:r>
              <w:rPr>
                <w:rFonts w:hint="eastAsia" w:ascii="宋体" w:hAnsi="宋体" w:eastAsia="宋体"/>
                <w:kern w:val="0"/>
                <w:sz w:val="21"/>
                <w:szCs w:val="18"/>
              </w:rPr>
              <w:t>&gt;</w:t>
            </w:r>
            <w:r>
              <w:rPr>
                <w:rFonts w:hint="eastAsia" w:ascii="宋体" w:eastAsia="宋体"/>
                <w:kern w:val="0"/>
                <w:sz w:val="21"/>
                <w:szCs w:val="18"/>
              </w:rPr>
              <w:t>1000 mg/m</w:t>
            </w:r>
            <w:r>
              <w:rPr>
                <w:rFonts w:hint="eastAsia" w:ascii="宋体" w:eastAsia="宋体"/>
                <w:kern w:val="0"/>
                <w:sz w:val="21"/>
                <w:szCs w:val="18"/>
                <w:vertAlign w:val="superscript"/>
              </w:rPr>
              <w:t>3</w:t>
            </w:r>
            <w:r>
              <w:rPr>
                <w:rFonts w:hint="eastAsia" w:ascii="宋体" w:eastAsia="宋体"/>
                <w:kern w:val="0"/>
                <w:sz w:val="21"/>
                <w:szCs w:val="18"/>
              </w:rPr>
              <w:t>废气的处理，不含或少含卤化物VOCs，燃烧温度不低于820℃</w:t>
            </w:r>
          </w:p>
        </w:tc>
      </w:tr>
      <w:tr w14:paraId="23D15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1" w:type="dxa"/>
            <w:tcBorders>
              <w:top w:val="single" w:color="000000" w:sz="4" w:space="0"/>
              <w:left w:val="single" w:color="000000" w:sz="4" w:space="0"/>
              <w:bottom w:val="single" w:color="000000" w:sz="4" w:space="0"/>
              <w:right w:val="single" w:color="000000" w:sz="4" w:space="0"/>
            </w:tcBorders>
          </w:tcPr>
          <w:p w14:paraId="5A9DC5D7">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催化燃烧法</w:t>
            </w:r>
          </w:p>
        </w:tc>
        <w:tc>
          <w:tcPr>
            <w:tcW w:w="7118" w:type="dxa"/>
            <w:tcBorders>
              <w:top w:val="single" w:color="000000" w:sz="4" w:space="0"/>
              <w:left w:val="single" w:color="000000" w:sz="4" w:space="0"/>
              <w:bottom w:val="single" w:color="000000" w:sz="4" w:space="0"/>
              <w:right w:val="single" w:color="000000" w:sz="4" w:space="0"/>
            </w:tcBorders>
          </w:tcPr>
          <w:p w14:paraId="491EE308">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适用于VOCs浓度</w:t>
            </w:r>
            <w:r>
              <w:rPr>
                <w:rFonts w:hint="eastAsia" w:ascii="宋体" w:hAnsi="宋体" w:eastAsia="宋体"/>
                <w:kern w:val="0"/>
                <w:sz w:val="21"/>
                <w:szCs w:val="18"/>
              </w:rPr>
              <w:t>&gt;</w:t>
            </w:r>
            <w:r>
              <w:rPr>
                <w:rFonts w:hint="eastAsia" w:ascii="宋体" w:eastAsia="宋体"/>
                <w:kern w:val="0"/>
                <w:sz w:val="21"/>
                <w:szCs w:val="18"/>
              </w:rPr>
              <w:t>1000 mg/m</w:t>
            </w:r>
            <w:r>
              <w:rPr>
                <w:rFonts w:hint="eastAsia" w:ascii="宋体" w:eastAsia="宋体"/>
                <w:kern w:val="0"/>
                <w:sz w:val="21"/>
                <w:szCs w:val="18"/>
                <w:vertAlign w:val="superscript"/>
              </w:rPr>
              <w:t>3</w:t>
            </w:r>
            <w:r>
              <w:rPr>
                <w:rFonts w:hint="eastAsia" w:ascii="宋体" w:eastAsia="宋体"/>
                <w:kern w:val="0"/>
                <w:sz w:val="21"/>
                <w:szCs w:val="18"/>
              </w:rPr>
              <w:t>废气的处理，不含卤化物VOCs，焚烧温度不低于300℃定期更换催化剂</w:t>
            </w:r>
          </w:p>
        </w:tc>
      </w:tr>
      <w:tr w14:paraId="6A48D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1" w:type="dxa"/>
            <w:tcBorders>
              <w:top w:val="single" w:color="000000" w:sz="4" w:space="0"/>
              <w:left w:val="single" w:color="000000" w:sz="4" w:space="0"/>
              <w:bottom w:val="single" w:color="000000" w:sz="4" w:space="0"/>
              <w:right w:val="single" w:color="000000" w:sz="4" w:space="0"/>
            </w:tcBorders>
          </w:tcPr>
          <w:p w14:paraId="3D8EAF37">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吸附/脱附+催化燃烧</w:t>
            </w:r>
          </w:p>
        </w:tc>
        <w:tc>
          <w:tcPr>
            <w:tcW w:w="7118" w:type="dxa"/>
            <w:tcBorders>
              <w:top w:val="single" w:color="000000" w:sz="4" w:space="0"/>
              <w:left w:val="single" w:color="000000" w:sz="4" w:space="0"/>
              <w:bottom w:val="single" w:color="000000" w:sz="4" w:space="0"/>
              <w:right w:val="single" w:color="000000" w:sz="4" w:space="0"/>
            </w:tcBorders>
          </w:tcPr>
          <w:p w14:paraId="15F2F733">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适用于VOCs浓度&lt;1000 mg/m</w:t>
            </w:r>
            <w:r>
              <w:rPr>
                <w:rFonts w:hint="eastAsia" w:ascii="宋体" w:eastAsia="宋体"/>
                <w:kern w:val="0"/>
                <w:sz w:val="21"/>
                <w:szCs w:val="18"/>
                <w:vertAlign w:val="superscript"/>
              </w:rPr>
              <w:t>3</w:t>
            </w:r>
            <w:r>
              <w:rPr>
                <w:rFonts w:hint="eastAsia" w:ascii="宋体" w:eastAsia="宋体"/>
                <w:kern w:val="0"/>
                <w:sz w:val="21"/>
                <w:szCs w:val="18"/>
              </w:rPr>
              <w:t>废气的处理，催化燃烧温度不低于300℃，定期进行废气监测，定期更换吸附剂和催化剂</w:t>
            </w:r>
          </w:p>
        </w:tc>
      </w:tr>
      <w:tr w14:paraId="12488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1" w:type="dxa"/>
            <w:tcBorders>
              <w:top w:val="single" w:color="000000" w:sz="4" w:space="0"/>
              <w:left w:val="single" w:color="000000" w:sz="4" w:space="0"/>
              <w:bottom w:val="single" w:color="000000" w:sz="4" w:space="0"/>
              <w:right w:val="single" w:color="000000" w:sz="4" w:space="0"/>
            </w:tcBorders>
          </w:tcPr>
          <w:p w14:paraId="4CBCC4A9">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碱吸收+生物净化</w:t>
            </w:r>
          </w:p>
        </w:tc>
        <w:tc>
          <w:tcPr>
            <w:tcW w:w="7118" w:type="dxa"/>
            <w:tcBorders>
              <w:top w:val="single" w:color="000000" w:sz="4" w:space="0"/>
              <w:left w:val="single" w:color="000000" w:sz="4" w:space="0"/>
              <w:bottom w:val="single" w:color="000000" w:sz="4" w:space="0"/>
              <w:right w:val="single" w:color="000000" w:sz="4" w:space="0"/>
            </w:tcBorders>
          </w:tcPr>
          <w:p w14:paraId="10299EE8">
            <w:pPr>
              <w:widowControl/>
              <w:autoSpaceDE w:val="0"/>
              <w:autoSpaceDN w:val="0"/>
              <w:spacing w:line="240" w:lineRule="auto"/>
              <w:ind w:firstLine="0" w:firstLineChars="0"/>
              <w:rPr>
                <w:rFonts w:ascii="宋体" w:eastAsia="宋体"/>
                <w:kern w:val="0"/>
                <w:sz w:val="21"/>
                <w:szCs w:val="18"/>
              </w:rPr>
            </w:pPr>
            <w:r>
              <w:rPr>
                <w:rFonts w:hint="eastAsia" w:ascii="宋体" w:eastAsia="宋体"/>
                <w:kern w:val="0"/>
                <w:sz w:val="21"/>
                <w:szCs w:val="18"/>
              </w:rPr>
              <w:t>适用于废水处理、危险废物暂存等恶臭废气处理。</w:t>
            </w:r>
          </w:p>
        </w:tc>
      </w:tr>
    </w:tbl>
    <w:p w14:paraId="607B0279">
      <w:pPr>
        <w:spacing w:line="240" w:lineRule="auto"/>
        <w:ind w:firstLine="0" w:firstLineChars="0"/>
        <w:jc w:val="center"/>
        <w:rPr>
          <w:color w:val="FF0000"/>
        </w:rPr>
      </w:pPr>
      <w:r>
        <w:br w:type="page"/>
      </w:r>
    </w:p>
    <w:p w14:paraId="565A39B7">
      <w:pPr>
        <w:pStyle w:val="3"/>
        <w:rPr>
          <w:rFonts w:eastAsia="仿宋"/>
        </w:rPr>
      </w:pPr>
      <w:bookmarkStart w:id="182" w:name="_Toc159926963"/>
      <w:bookmarkStart w:id="183" w:name="_Toc13742"/>
      <w:bookmarkStart w:id="184" w:name="_Toc18796"/>
      <w:bookmarkStart w:id="185" w:name="_Toc6956"/>
      <w:bookmarkStart w:id="186" w:name="_Toc525723240"/>
      <w:r>
        <w:rPr>
          <w:rFonts w:eastAsia="仿宋"/>
        </w:rPr>
        <w:t>7 标准实施的环境、经济效益分析</w:t>
      </w:r>
      <w:bookmarkEnd w:id="182"/>
      <w:bookmarkEnd w:id="183"/>
      <w:bookmarkEnd w:id="184"/>
      <w:bookmarkEnd w:id="185"/>
    </w:p>
    <w:p w14:paraId="62594D5F">
      <w:pPr>
        <w:pStyle w:val="4"/>
        <w:spacing w:before="0" w:after="0"/>
        <w:rPr>
          <w:rFonts w:ascii="Times New Roman" w:hAnsi="Times New Roman"/>
        </w:rPr>
      </w:pPr>
      <w:bookmarkStart w:id="187" w:name="_Toc159926964"/>
      <w:bookmarkStart w:id="188" w:name="_Toc25233"/>
      <w:bookmarkStart w:id="189" w:name="_Toc29370"/>
      <w:bookmarkStart w:id="190" w:name="_Toc13335"/>
      <w:r>
        <w:rPr>
          <w:rFonts w:ascii="Times New Roman" w:hAnsi="Times New Roman"/>
        </w:rPr>
        <w:t>7.1 环境效益分析</w:t>
      </w:r>
      <w:bookmarkEnd w:id="187"/>
      <w:bookmarkEnd w:id="188"/>
      <w:bookmarkEnd w:id="189"/>
      <w:bookmarkEnd w:id="190"/>
    </w:p>
    <w:p w14:paraId="29FED79A">
      <w:pPr>
        <w:pStyle w:val="70"/>
      </w:pPr>
      <w:r>
        <w:t>本标准的实施能够科学指导我省有机化工企业挥发性有机物的污染防治，加强有机化工行业挥发性有机物的排放管理，提升企业清洁生产水平。工艺废气的末端治理技术可以分为两大类：回收技术和销毁技术，回收技术主要为吸附技术、吸收技术、冷凝回收、膜技术等；销毁技术主要为催化燃烧技术、热力燃烧技术、生物技术、等离子技术、光催化技术、光氧化技术等，由于废气处理成分较复杂和单一技术的局限性，往往采用组合治理工艺满足排放要求，根据污染物的组成、污染物的性质和排放条件（风量、浓度、温度、颗粒物含量等）选择适宜的末端治理技术，如高浓度有机废气治理，可以采用冷凝加吸附的组合工艺；低浓度有机废气可以采用吸附浓缩加冷凝回收或焚烧的组合工艺等。本标准的实施可有效指导我省有机化工企业开展VOCs深度治理改造，可提升有机化工企业VOCs治理水平，削减VOCs排放，降低对O</w:t>
      </w:r>
      <w:r>
        <w:rPr>
          <w:vertAlign w:val="subscript"/>
        </w:rPr>
        <w:t>3</w:t>
      </w:r>
      <w:r>
        <w:t>和PM</w:t>
      </w:r>
      <w:r>
        <w:rPr>
          <w:vertAlign w:val="subscript"/>
        </w:rPr>
        <w:t>2.5</w:t>
      </w:r>
      <w:r>
        <w:t>的污染贡献，促进空气质量的改善，带来的环境效益十分显著。</w:t>
      </w:r>
    </w:p>
    <w:p w14:paraId="74AC883A">
      <w:pPr>
        <w:pStyle w:val="4"/>
        <w:spacing w:before="0" w:after="0"/>
        <w:rPr>
          <w:rFonts w:ascii="Times New Roman" w:hAnsi="Times New Roman"/>
        </w:rPr>
      </w:pPr>
      <w:bookmarkStart w:id="191" w:name="_Toc25565"/>
      <w:bookmarkStart w:id="192" w:name="_Toc17541"/>
      <w:bookmarkStart w:id="193" w:name="_Toc159926965"/>
      <w:bookmarkStart w:id="194" w:name="_Toc6897"/>
      <w:r>
        <w:rPr>
          <w:rFonts w:ascii="Times New Roman" w:hAnsi="Times New Roman"/>
        </w:rPr>
        <w:t>7.2 经济效益分析</w:t>
      </w:r>
      <w:bookmarkEnd w:id="191"/>
      <w:bookmarkEnd w:id="192"/>
      <w:bookmarkEnd w:id="193"/>
      <w:bookmarkEnd w:id="194"/>
    </w:p>
    <w:p w14:paraId="1DCAB94B">
      <w:pPr>
        <w:pStyle w:val="70"/>
      </w:pPr>
      <w:r>
        <w:rPr>
          <w:rFonts w:hint="eastAsia"/>
        </w:rPr>
        <w:t>据统计，由于有机废气治理方式的不同，环保投资费用从20万/台（套）到1000万/台（套）不等，年运行费用从2万/台（套）到300万/台（套）。不同规模的有机化工企业可根据自身挥发性有机物组分和浓度的不同，选择合适的治理技术，与年利润相比，投资负担基本在可承受范围之内</w:t>
      </w:r>
      <w:r>
        <w:t>。</w:t>
      </w:r>
    </w:p>
    <w:bookmarkEnd w:id="186"/>
    <w:p w14:paraId="0AA73B17">
      <w:pPr>
        <w:ind w:firstLine="0" w:firstLineChars="0"/>
      </w:pPr>
    </w:p>
    <w:p w14:paraId="0AF757A2">
      <w:pPr>
        <w:ind w:firstLine="480"/>
      </w:pPr>
    </w:p>
    <w:sectPr>
      <w:footerReference r:id="rId12" w:type="default"/>
      <w:pgSz w:w="11907" w:h="16840"/>
      <w:pgMar w:top="1418" w:right="1582" w:bottom="1378" w:left="1582"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华文新魏">
    <w:altName w:val="宋体"/>
    <w:panose1 w:val="02010800040101010101"/>
    <w:charset w:val="86"/>
    <w:family w:val="auto"/>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5CF59">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A3101">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65F99">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6CAC4">
    <w:pPr>
      <w:pStyle w:val="14"/>
      <w:ind w:firstLine="360"/>
      <w:jc w:val="center"/>
    </w:pPr>
    <w:r>
      <mc:AlternateContent>
        <mc:Choice Requires="wps">
          <w:drawing>
            <wp:anchor distT="0" distB="0" distL="114300" distR="114300" simplePos="0" relativeHeight="251659264" behindDoc="0" locked="0" layoutInCell="1" allowOverlap="1">
              <wp:simplePos x="0" y="0"/>
              <wp:positionH relativeFrom="margin">
                <wp:posOffset>2629535</wp:posOffset>
              </wp:positionH>
              <wp:positionV relativeFrom="paragraph">
                <wp:posOffset>635</wp:posOffset>
              </wp:positionV>
              <wp:extent cx="941705" cy="18288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941637"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9DF17B">
                          <w:pPr>
                            <w:pStyle w:val="14"/>
                            <w:ind w:firstLine="36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7.05pt;margin-top:0.05pt;height:144pt;width:74.15pt;mso-position-horizontal-relative:margin;z-index:251659264;mso-width-relative:page;mso-height-relative:page;" filled="f" stroked="f" coordsize="21600,21600" o:gfxdata="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Oq6LbWAAAACAEAAA8AAAAAAAAAAQAgAAAAIgAAAGRycy9kb3ducmV2LnhtbFBL&#10;AQIUABQAAAAIAIdO4kASWzI0MQIAAFYEAAAOAAAAAAAAAAEAIAAAACUBAABkcnMvZTJvRG9jLnht&#10;bFBLBQYAAAAABgAGAFkBAADIBQAAAAA=&#10;">
              <v:fill on="f" focussize="0,0"/>
              <v:stroke on="f" weight="0.5pt"/>
              <v:imagedata o:title=""/>
              <o:lock v:ext="edit" aspectratio="f"/>
              <v:textbox inset="0mm,0mm,0mm,0mm" style="mso-fit-shape-to-text:t;">
                <w:txbxContent>
                  <w:p w14:paraId="209DF17B">
                    <w:pPr>
                      <w:pStyle w:val="14"/>
                      <w:ind w:firstLine="36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14F14">
    <w:pPr>
      <w:pStyle w:val="14"/>
      <w:ind w:firstLine="360"/>
      <w:jc w:val="center"/>
    </w:pPr>
    <w:r>
      <mc:AlternateContent>
        <mc:Choice Requires="wps">
          <w:drawing>
            <wp:anchor distT="0" distB="0" distL="114300" distR="114300" simplePos="0" relativeHeight="251660288" behindDoc="0" locked="0" layoutInCell="1" allowOverlap="1">
              <wp:simplePos x="0" y="0"/>
              <wp:positionH relativeFrom="margin">
                <wp:posOffset>2627630</wp:posOffset>
              </wp:positionH>
              <wp:positionV relativeFrom="paragraph">
                <wp:posOffset>0</wp:posOffset>
              </wp:positionV>
              <wp:extent cx="734695" cy="346710"/>
              <wp:effectExtent l="0" t="0" r="8255" b="0"/>
              <wp:wrapNone/>
              <wp:docPr id="34" name="文本框 34"/>
              <wp:cNvGraphicFramePr/>
              <a:graphic xmlns:a="http://schemas.openxmlformats.org/drawingml/2006/main">
                <a:graphicData uri="http://schemas.microsoft.com/office/word/2010/wordprocessingShape">
                  <wps:wsp>
                    <wps:cNvSpPr txBox="1"/>
                    <wps:spPr>
                      <a:xfrm>
                        <a:off x="0" y="0"/>
                        <a:ext cx="734860" cy="34655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AD8A0">
                          <w:pPr>
                            <w:pStyle w:val="14"/>
                            <w:ind w:firstLine="360"/>
                            <w:jc w:val="both"/>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6.9pt;margin-top:0pt;height:27.3pt;width:57.85pt;mso-position-horizontal-relative:margin;z-index:251660288;mso-width-relative:page;mso-height-relative:page;" filled="f" stroked="f" coordsize="21600,21600" o:gfxdata="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lw8hY1wAAAAcBAAAPAAAAAAAAAAEAIAAAACIAAABkcnMvZG93bnJldi54&#10;bWxQSwECFAAUAAAACACHTuJA3x1yZTQCAABXBAAADgAAAAAAAAABACAAAAAmAQAAZHJzL2Uyb0Rv&#10;Yy54bWxQSwUGAAAAAAYABgBZAQAAzAUAAAAA&#10;">
              <v:fill on="f" focussize="0,0"/>
              <v:stroke on="f" weight="0.5pt"/>
              <v:imagedata o:title=""/>
              <o:lock v:ext="edit" aspectratio="f"/>
              <v:textbox inset="0mm,0mm,0mm,0mm">
                <w:txbxContent>
                  <w:p w14:paraId="795AD8A0">
                    <w:pPr>
                      <w:pStyle w:val="14"/>
                      <w:ind w:firstLine="360"/>
                      <w:jc w:val="both"/>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6EB40">
    <w:pPr>
      <w:pStyle w:val="2"/>
      <w:pBdr>
        <w:bottom w:val="single" w:color="auto" w:sz="4" w:space="1"/>
      </w:pBdr>
      <w:spacing w:line="240" w:lineRule="auto"/>
      <w:ind w:firstLine="0" w:firstLineChars="0"/>
      <w:rPr>
        <w:rFonts w:ascii="华文新魏" w:eastAsia="华文新魏"/>
        <w:sz w:val="4"/>
      </w:rPr>
    </w:pPr>
    <w:r>
      <w:rPr>
        <w:rFonts w:hint="eastAsia" w:ascii="华文新魏" w:eastAsia="华文新魏"/>
        <w:szCs w:val="48"/>
      </w:rPr>
      <w:t>《挥发性有机物污染防治技术指南（试行） 第2部分：有机化工行业》编制说明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F5878">
    <w:pPr>
      <w:pStyle w:val="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DBCEB">
    <w:pPr>
      <w:pStyle w:val="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57390E"/>
    <w:multiLevelType w:val="multilevel"/>
    <w:tmpl w:val="0F57390E"/>
    <w:lvl w:ilvl="0" w:tentative="0">
      <w:start w:val="3"/>
      <w:numFmt w:val="decimal"/>
      <w:lvlText w:val="%1"/>
      <w:lvlJc w:val="left"/>
      <w:pPr>
        <w:ind w:left="644" w:hanging="526"/>
      </w:pPr>
      <w:rPr>
        <w:rFonts w:hint="default"/>
      </w:rPr>
    </w:lvl>
    <w:lvl w:ilvl="1" w:tentative="0">
      <w:start w:val="1"/>
      <w:numFmt w:val="decimal"/>
      <w:lvlText w:val="%1.%2"/>
      <w:lvlJc w:val="left"/>
      <w:pPr>
        <w:ind w:left="644" w:hanging="526"/>
        <w:jc w:val="right"/>
      </w:pPr>
      <w:rPr>
        <w:rFonts w:hint="default" w:ascii="黑体" w:hAnsi="黑体" w:eastAsia="黑体"/>
        <w:w w:val="100"/>
        <w:sz w:val="21"/>
        <w:szCs w:val="21"/>
      </w:rPr>
    </w:lvl>
    <w:lvl w:ilvl="2" w:tentative="0">
      <w:start w:val="1"/>
      <w:numFmt w:val="bullet"/>
      <w:lvlText w:val="•"/>
      <w:lvlJc w:val="left"/>
      <w:pPr>
        <w:ind w:left="2429" w:hanging="526"/>
      </w:pPr>
      <w:rPr>
        <w:rFonts w:hint="default"/>
      </w:rPr>
    </w:lvl>
    <w:lvl w:ilvl="3" w:tentative="0">
      <w:start w:val="1"/>
      <w:numFmt w:val="bullet"/>
      <w:lvlText w:val="•"/>
      <w:lvlJc w:val="left"/>
      <w:pPr>
        <w:ind w:left="3323" w:hanging="526"/>
      </w:pPr>
      <w:rPr>
        <w:rFonts w:hint="default"/>
      </w:rPr>
    </w:lvl>
    <w:lvl w:ilvl="4" w:tentative="0">
      <w:start w:val="1"/>
      <w:numFmt w:val="bullet"/>
      <w:lvlText w:val="•"/>
      <w:lvlJc w:val="left"/>
      <w:pPr>
        <w:ind w:left="4218" w:hanging="526"/>
      </w:pPr>
      <w:rPr>
        <w:rFonts w:hint="default"/>
      </w:rPr>
    </w:lvl>
    <w:lvl w:ilvl="5" w:tentative="0">
      <w:start w:val="1"/>
      <w:numFmt w:val="bullet"/>
      <w:lvlText w:val="•"/>
      <w:lvlJc w:val="left"/>
      <w:pPr>
        <w:ind w:left="5113" w:hanging="526"/>
      </w:pPr>
      <w:rPr>
        <w:rFonts w:hint="default"/>
      </w:rPr>
    </w:lvl>
    <w:lvl w:ilvl="6" w:tentative="0">
      <w:start w:val="1"/>
      <w:numFmt w:val="bullet"/>
      <w:lvlText w:val="•"/>
      <w:lvlJc w:val="left"/>
      <w:pPr>
        <w:ind w:left="6007" w:hanging="526"/>
      </w:pPr>
      <w:rPr>
        <w:rFonts w:hint="default"/>
      </w:rPr>
    </w:lvl>
    <w:lvl w:ilvl="7" w:tentative="0">
      <w:start w:val="1"/>
      <w:numFmt w:val="bullet"/>
      <w:lvlText w:val="•"/>
      <w:lvlJc w:val="left"/>
      <w:pPr>
        <w:ind w:left="6902" w:hanging="526"/>
      </w:pPr>
      <w:rPr>
        <w:rFonts w:hint="default"/>
      </w:rPr>
    </w:lvl>
    <w:lvl w:ilvl="8" w:tentative="0">
      <w:start w:val="1"/>
      <w:numFmt w:val="bullet"/>
      <w:lvlText w:val="•"/>
      <w:lvlJc w:val="left"/>
      <w:pPr>
        <w:ind w:left="7797" w:hanging="526"/>
      </w:pPr>
      <w:rPr>
        <w:rFonts w:hint="default"/>
      </w:rPr>
    </w:lvl>
  </w:abstractNum>
  <w:abstractNum w:abstractNumId="1">
    <w:nsid w:val="6DBF04F4"/>
    <w:multiLevelType w:val="multilevel"/>
    <w:tmpl w:val="6DBF04F4"/>
    <w:lvl w:ilvl="0" w:tentative="0">
      <w:start w:val="1"/>
      <w:numFmt w:val="none"/>
      <w:pStyle w:val="66"/>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ODgzMTNmOGNjMDk4OTg2NTAzYTUxZGJlNDkzY2UifQ=="/>
  </w:docVars>
  <w:rsids>
    <w:rsidRoot w:val="00172A27"/>
    <w:rsid w:val="00001A24"/>
    <w:rsid w:val="00001BED"/>
    <w:rsid w:val="0000318C"/>
    <w:rsid w:val="00003689"/>
    <w:rsid w:val="000037F1"/>
    <w:rsid w:val="00004BC0"/>
    <w:rsid w:val="00004DD5"/>
    <w:rsid w:val="000056D4"/>
    <w:rsid w:val="0000583F"/>
    <w:rsid w:val="00005B02"/>
    <w:rsid w:val="00005B8E"/>
    <w:rsid w:val="00005CF8"/>
    <w:rsid w:val="00006A11"/>
    <w:rsid w:val="00007031"/>
    <w:rsid w:val="000074CD"/>
    <w:rsid w:val="00007EB3"/>
    <w:rsid w:val="000115CE"/>
    <w:rsid w:val="00011DAF"/>
    <w:rsid w:val="00013540"/>
    <w:rsid w:val="0001398C"/>
    <w:rsid w:val="00013C63"/>
    <w:rsid w:val="000142FD"/>
    <w:rsid w:val="00014602"/>
    <w:rsid w:val="00014FD0"/>
    <w:rsid w:val="000151E9"/>
    <w:rsid w:val="000155E4"/>
    <w:rsid w:val="000176BA"/>
    <w:rsid w:val="00017B04"/>
    <w:rsid w:val="00020125"/>
    <w:rsid w:val="000209F6"/>
    <w:rsid w:val="00021EA7"/>
    <w:rsid w:val="0002313D"/>
    <w:rsid w:val="0002341E"/>
    <w:rsid w:val="00023C5C"/>
    <w:rsid w:val="000250B6"/>
    <w:rsid w:val="000262A8"/>
    <w:rsid w:val="000269B5"/>
    <w:rsid w:val="00027C6A"/>
    <w:rsid w:val="0003155D"/>
    <w:rsid w:val="00031880"/>
    <w:rsid w:val="00032438"/>
    <w:rsid w:val="00032853"/>
    <w:rsid w:val="00032C27"/>
    <w:rsid w:val="000339AA"/>
    <w:rsid w:val="000358EF"/>
    <w:rsid w:val="00036A1E"/>
    <w:rsid w:val="00036E57"/>
    <w:rsid w:val="000370E0"/>
    <w:rsid w:val="000377C3"/>
    <w:rsid w:val="000401FC"/>
    <w:rsid w:val="00040FD5"/>
    <w:rsid w:val="000420A7"/>
    <w:rsid w:val="000443F1"/>
    <w:rsid w:val="000444B9"/>
    <w:rsid w:val="000445ED"/>
    <w:rsid w:val="0004511D"/>
    <w:rsid w:val="0004525D"/>
    <w:rsid w:val="000461F9"/>
    <w:rsid w:val="00047BEF"/>
    <w:rsid w:val="0005184C"/>
    <w:rsid w:val="00051B22"/>
    <w:rsid w:val="00051FA4"/>
    <w:rsid w:val="000522D0"/>
    <w:rsid w:val="0005279F"/>
    <w:rsid w:val="000546F6"/>
    <w:rsid w:val="00054841"/>
    <w:rsid w:val="000556EE"/>
    <w:rsid w:val="000564B7"/>
    <w:rsid w:val="0005697B"/>
    <w:rsid w:val="00056B58"/>
    <w:rsid w:val="00056C5B"/>
    <w:rsid w:val="00057161"/>
    <w:rsid w:val="000605F1"/>
    <w:rsid w:val="00060C6C"/>
    <w:rsid w:val="00060E9C"/>
    <w:rsid w:val="00061053"/>
    <w:rsid w:val="000625F4"/>
    <w:rsid w:val="0006335C"/>
    <w:rsid w:val="00063CF6"/>
    <w:rsid w:val="00065793"/>
    <w:rsid w:val="00066CD5"/>
    <w:rsid w:val="00066D3B"/>
    <w:rsid w:val="0006790F"/>
    <w:rsid w:val="00067A27"/>
    <w:rsid w:val="00067A5B"/>
    <w:rsid w:val="00067C47"/>
    <w:rsid w:val="0007012D"/>
    <w:rsid w:val="00071654"/>
    <w:rsid w:val="0007197C"/>
    <w:rsid w:val="000733AB"/>
    <w:rsid w:val="000749B0"/>
    <w:rsid w:val="00074A8E"/>
    <w:rsid w:val="00075756"/>
    <w:rsid w:val="00075C58"/>
    <w:rsid w:val="00077197"/>
    <w:rsid w:val="0007788A"/>
    <w:rsid w:val="000807C6"/>
    <w:rsid w:val="0008084F"/>
    <w:rsid w:val="00080E1D"/>
    <w:rsid w:val="000814E3"/>
    <w:rsid w:val="00081576"/>
    <w:rsid w:val="00081863"/>
    <w:rsid w:val="00081F03"/>
    <w:rsid w:val="00084031"/>
    <w:rsid w:val="00084723"/>
    <w:rsid w:val="000847D3"/>
    <w:rsid w:val="00084BF8"/>
    <w:rsid w:val="00086382"/>
    <w:rsid w:val="00086AD6"/>
    <w:rsid w:val="00086D52"/>
    <w:rsid w:val="0008789E"/>
    <w:rsid w:val="00087FC8"/>
    <w:rsid w:val="00091DAD"/>
    <w:rsid w:val="00092043"/>
    <w:rsid w:val="000936B2"/>
    <w:rsid w:val="00094554"/>
    <w:rsid w:val="0009458B"/>
    <w:rsid w:val="00094BD0"/>
    <w:rsid w:val="0009578B"/>
    <w:rsid w:val="00095887"/>
    <w:rsid w:val="0009693B"/>
    <w:rsid w:val="000973FE"/>
    <w:rsid w:val="000974D9"/>
    <w:rsid w:val="00097F9A"/>
    <w:rsid w:val="000A039B"/>
    <w:rsid w:val="000A146C"/>
    <w:rsid w:val="000A235E"/>
    <w:rsid w:val="000A3CA1"/>
    <w:rsid w:val="000A4147"/>
    <w:rsid w:val="000A443C"/>
    <w:rsid w:val="000A4B35"/>
    <w:rsid w:val="000A5E0F"/>
    <w:rsid w:val="000A6A7D"/>
    <w:rsid w:val="000A7372"/>
    <w:rsid w:val="000A7953"/>
    <w:rsid w:val="000A7FD6"/>
    <w:rsid w:val="000B0B93"/>
    <w:rsid w:val="000B0C47"/>
    <w:rsid w:val="000B1771"/>
    <w:rsid w:val="000B225E"/>
    <w:rsid w:val="000B25B8"/>
    <w:rsid w:val="000B3AC7"/>
    <w:rsid w:val="000B49F5"/>
    <w:rsid w:val="000B4D75"/>
    <w:rsid w:val="000B5181"/>
    <w:rsid w:val="000B58FC"/>
    <w:rsid w:val="000B5F16"/>
    <w:rsid w:val="000B63C4"/>
    <w:rsid w:val="000B769A"/>
    <w:rsid w:val="000B79A5"/>
    <w:rsid w:val="000C049F"/>
    <w:rsid w:val="000C07E0"/>
    <w:rsid w:val="000C0A47"/>
    <w:rsid w:val="000C121B"/>
    <w:rsid w:val="000C1919"/>
    <w:rsid w:val="000C2130"/>
    <w:rsid w:val="000C2C32"/>
    <w:rsid w:val="000C2C57"/>
    <w:rsid w:val="000C3298"/>
    <w:rsid w:val="000C344A"/>
    <w:rsid w:val="000C3557"/>
    <w:rsid w:val="000C37B1"/>
    <w:rsid w:val="000C38D5"/>
    <w:rsid w:val="000C3BFC"/>
    <w:rsid w:val="000C3D2E"/>
    <w:rsid w:val="000C3FA0"/>
    <w:rsid w:val="000C3FCA"/>
    <w:rsid w:val="000C41E3"/>
    <w:rsid w:val="000C4640"/>
    <w:rsid w:val="000C4CD6"/>
    <w:rsid w:val="000C6DDE"/>
    <w:rsid w:val="000C7DF9"/>
    <w:rsid w:val="000C7F40"/>
    <w:rsid w:val="000D0CDA"/>
    <w:rsid w:val="000D127E"/>
    <w:rsid w:val="000D12A6"/>
    <w:rsid w:val="000D150D"/>
    <w:rsid w:val="000D1CFE"/>
    <w:rsid w:val="000D2421"/>
    <w:rsid w:val="000D2503"/>
    <w:rsid w:val="000D266E"/>
    <w:rsid w:val="000D2C87"/>
    <w:rsid w:val="000D3436"/>
    <w:rsid w:val="000D38DF"/>
    <w:rsid w:val="000D3C6C"/>
    <w:rsid w:val="000D4A8D"/>
    <w:rsid w:val="000D4C60"/>
    <w:rsid w:val="000D6635"/>
    <w:rsid w:val="000D679E"/>
    <w:rsid w:val="000D68E3"/>
    <w:rsid w:val="000D69DF"/>
    <w:rsid w:val="000D6B15"/>
    <w:rsid w:val="000D77F4"/>
    <w:rsid w:val="000D7EA5"/>
    <w:rsid w:val="000E1C37"/>
    <w:rsid w:val="000E28AE"/>
    <w:rsid w:val="000E397A"/>
    <w:rsid w:val="000E4A8C"/>
    <w:rsid w:val="000E52DA"/>
    <w:rsid w:val="000E593E"/>
    <w:rsid w:val="000E5C3E"/>
    <w:rsid w:val="000E693F"/>
    <w:rsid w:val="000E6A47"/>
    <w:rsid w:val="000E71FB"/>
    <w:rsid w:val="000F016E"/>
    <w:rsid w:val="000F0C0F"/>
    <w:rsid w:val="000F0F71"/>
    <w:rsid w:val="000F11CD"/>
    <w:rsid w:val="000F13ED"/>
    <w:rsid w:val="000F1E7E"/>
    <w:rsid w:val="000F1F04"/>
    <w:rsid w:val="000F2B3E"/>
    <w:rsid w:val="000F2C67"/>
    <w:rsid w:val="000F3633"/>
    <w:rsid w:val="000F5868"/>
    <w:rsid w:val="000F594C"/>
    <w:rsid w:val="000F6239"/>
    <w:rsid w:val="000F64FE"/>
    <w:rsid w:val="000F66C4"/>
    <w:rsid w:val="000F6C51"/>
    <w:rsid w:val="000F78A1"/>
    <w:rsid w:val="0010044B"/>
    <w:rsid w:val="0010090F"/>
    <w:rsid w:val="00101048"/>
    <w:rsid w:val="00101392"/>
    <w:rsid w:val="001030FF"/>
    <w:rsid w:val="00103D04"/>
    <w:rsid w:val="00103DE8"/>
    <w:rsid w:val="00103FC7"/>
    <w:rsid w:val="001055B1"/>
    <w:rsid w:val="00105EC3"/>
    <w:rsid w:val="00106FBA"/>
    <w:rsid w:val="00110AEB"/>
    <w:rsid w:val="001128B8"/>
    <w:rsid w:val="001149E5"/>
    <w:rsid w:val="001150CD"/>
    <w:rsid w:val="00116A28"/>
    <w:rsid w:val="00116C34"/>
    <w:rsid w:val="00116F33"/>
    <w:rsid w:val="00117805"/>
    <w:rsid w:val="00117F20"/>
    <w:rsid w:val="00120525"/>
    <w:rsid w:val="001217F5"/>
    <w:rsid w:val="00122918"/>
    <w:rsid w:val="00122AEF"/>
    <w:rsid w:val="00122B2C"/>
    <w:rsid w:val="00124553"/>
    <w:rsid w:val="0012552F"/>
    <w:rsid w:val="00127CB6"/>
    <w:rsid w:val="001300DE"/>
    <w:rsid w:val="001307F5"/>
    <w:rsid w:val="00130CD0"/>
    <w:rsid w:val="00130CE1"/>
    <w:rsid w:val="00132354"/>
    <w:rsid w:val="001328AC"/>
    <w:rsid w:val="00132DCC"/>
    <w:rsid w:val="0013337A"/>
    <w:rsid w:val="0013351D"/>
    <w:rsid w:val="001339F3"/>
    <w:rsid w:val="00133D95"/>
    <w:rsid w:val="0013428B"/>
    <w:rsid w:val="00134CF6"/>
    <w:rsid w:val="0013574A"/>
    <w:rsid w:val="00135914"/>
    <w:rsid w:val="00135EB8"/>
    <w:rsid w:val="00136285"/>
    <w:rsid w:val="001401AF"/>
    <w:rsid w:val="001418DE"/>
    <w:rsid w:val="001437A1"/>
    <w:rsid w:val="0014380B"/>
    <w:rsid w:val="00143BF2"/>
    <w:rsid w:val="00143F90"/>
    <w:rsid w:val="0014585C"/>
    <w:rsid w:val="00145F5F"/>
    <w:rsid w:val="001461B3"/>
    <w:rsid w:val="00146BC6"/>
    <w:rsid w:val="00146D55"/>
    <w:rsid w:val="0014725D"/>
    <w:rsid w:val="00147327"/>
    <w:rsid w:val="00147658"/>
    <w:rsid w:val="001503BD"/>
    <w:rsid w:val="001511E6"/>
    <w:rsid w:val="00151499"/>
    <w:rsid w:val="0015197A"/>
    <w:rsid w:val="00153455"/>
    <w:rsid w:val="00153DF3"/>
    <w:rsid w:val="00154492"/>
    <w:rsid w:val="00154521"/>
    <w:rsid w:val="001545DB"/>
    <w:rsid w:val="00155907"/>
    <w:rsid w:val="00155E7D"/>
    <w:rsid w:val="00156219"/>
    <w:rsid w:val="00156223"/>
    <w:rsid w:val="00156AE8"/>
    <w:rsid w:val="0015760F"/>
    <w:rsid w:val="00160A75"/>
    <w:rsid w:val="00160D59"/>
    <w:rsid w:val="00161F46"/>
    <w:rsid w:val="00162E0B"/>
    <w:rsid w:val="00163129"/>
    <w:rsid w:val="001632E9"/>
    <w:rsid w:val="00163B42"/>
    <w:rsid w:val="00164197"/>
    <w:rsid w:val="00164AB3"/>
    <w:rsid w:val="00164EE6"/>
    <w:rsid w:val="0016530C"/>
    <w:rsid w:val="001657AA"/>
    <w:rsid w:val="00165BA3"/>
    <w:rsid w:val="0016635E"/>
    <w:rsid w:val="001673CF"/>
    <w:rsid w:val="00167551"/>
    <w:rsid w:val="001702FB"/>
    <w:rsid w:val="00171C04"/>
    <w:rsid w:val="001727F0"/>
    <w:rsid w:val="00172A27"/>
    <w:rsid w:val="00175E84"/>
    <w:rsid w:val="00177808"/>
    <w:rsid w:val="00177C2A"/>
    <w:rsid w:val="00180BA1"/>
    <w:rsid w:val="001811F3"/>
    <w:rsid w:val="00181924"/>
    <w:rsid w:val="0018271B"/>
    <w:rsid w:val="00182C81"/>
    <w:rsid w:val="001833D1"/>
    <w:rsid w:val="001834C8"/>
    <w:rsid w:val="00183E75"/>
    <w:rsid w:val="001844DC"/>
    <w:rsid w:val="00184AD3"/>
    <w:rsid w:val="00185798"/>
    <w:rsid w:val="001858D4"/>
    <w:rsid w:val="0018623D"/>
    <w:rsid w:val="00187707"/>
    <w:rsid w:val="00191105"/>
    <w:rsid w:val="001918D4"/>
    <w:rsid w:val="00191DE6"/>
    <w:rsid w:val="001920F9"/>
    <w:rsid w:val="00192909"/>
    <w:rsid w:val="001A060A"/>
    <w:rsid w:val="001A06B3"/>
    <w:rsid w:val="001A0758"/>
    <w:rsid w:val="001A1DE5"/>
    <w:rsid w:val="001A2BBE"/>
    <w:rsid w:val="001A2D54"/>
    <w:rsid w:val="001A46DE"/>
    <w:rsid w:val="001A50C9"/>
    <w:rsid w:val="001A5A50"/>
    <w:rsid w:val="001A5C5B"/>
    <w:rsid w:val="001B0E13"/>
    <w:rsid w:val="001B2945"/>
    <w:rsid w:val="001B3C8D"/>
    <w:rsid w:val="001B3D9C"/>
    <w:rsid w:val="001B5963"/>
    <w:rsid w:val="001B6077"/>
    <w:rsid w:val="001B60B4"/>
    <w:rsid w:val="001B66BB"/>
    <w:rsid w:val="001B6734"/>
    <w:rsid w:val="001B7F79"/>
    <w:rsid w:val="001B7FFB"/>
    <w:rsid w:val="001C0340"/>
    <w:rsid w:val="001C2EAD"/>
    <w:rsid w:val="001C48F0"/>
    <w:rsid w:val="001C5C91"/>
    <w:rsid w:val="001C6984"/>
    <w:rsid w:val="001C6A6C"/>
    <w:rsid w:val="001C75BD"/>
    <w:rsid w:val="001D0C5D"/>
    <w:rsid w:val="001D13B5"/>
    <w:rsid w:val="001D19A3"/>
    <w:rsid w:val="001D1AC6"/>
    <w:rsid w:val="001D1FEC"/>
    <w:rsid w:val="001D2E5A"/>
    <w:rsid w:val="001D3325"/>
    <w:rsid w:val="001D4C0F"/>
    <w:rsid w:val="001D641A"/>
    <w:rsid w:val="001E0753"/>
    <w:rsid w:val="001E1A62"/>
    <w:rsid w:val="001E312C"/>
    <w:rsid w:val="001E4955"/>
    <w:rsid w:val="001E4A99"/>
    <w:rsid w:val="001E54AB"/>
    <w:rsid w:val="001E5B22"/>
    <w:rsid w:val="001E7450"/>
    <w:rsid w:val="001F0443"/>
    <w:rsid w:val="001F27E9"/>
    <w:rsid w:val="001F3058"/>
    <w:rsid w:val="001F5966"/>
    <w:rsid w:val="001F5AF5"/>
    <w:rsid w:val="001F643F"/>
    <w:rsid w:val="001F6EA7"/>
    <w:rsid w:val="00200476"/>
    <w:rsid w:val="00201313"/>
    <w:rsid w:val="00201ECE"/>
    <w:rsid w:val="00202FB9"/>
    <w:rsid w:val="00203BB6"/>
    <w:rsid w:val="00204895"/>
    <w:rsid w:val="00205422"/>
    <w:rsid w:val="00205637"/>
    <w:rsid w:val="00205F8F"/>
    <w:rsid w:val="0020693F"/>
    <w:rsid w:val="00206FF9"/>
    <w:rsid w:val="0020706C"/>
    <w:rsid w:val="002074FA"/>
    <w:rsid w:val="0021056D"/>
    <w:rsid w:val="002128AA"/>
    <w:rsid w:val="0021369E"/>
    <w:rsid w:val="00215393"/>
    <w:rsid w:val="00215801"/>
    <w:rsid w:val="0021773C"/>
    <w:rsid w:val="00221331"/>
    <w:rsid w:val="00221DD4"/>
    <w:rsid w:val="00222205"/>
    <w:rsid w:val="00222273"/>
    <w:rsid w:val="00224C93"/>
    <w:rsid w:val="00225234"/>
    <w:rsid w:val="0022542A"/>
    <w:rsid w:val="002257DC"/>
    <w:rsid w:val="002267B5"/>
    <w:rsid w:val="00226CAA"/>
    <w:rsid w:val="00226E80"/>
    <w:rsid w:val="00226FA7"/>
    <w:rsid w:val="00230A3F"/>
    <w:rsid w:val="00230EFB"/>
    <w:rsid w:val="00231F73"/>
    <w:rsid w:val="0023232A"/>
    <w:rsid w:val="00232F24"/>
    <w:rsid w:val="0023408B"/>
    <w:rsid w:val="00234D06"/>
    <w:rsid w:val="0023579C"/>
    <w:rsid w:val="002368B0"/>
    <w:rsid w:val="002372EC"/>
    <w:rsid w:val="00237743"/>
    <w:rsid w:val="00241443"/>
    <w:rsid w:val="00242727"/>
    <w:rsid w:val="002428DB"/>
    <w:rsid w:val="002433F3"/>
    <w:rsid w:val="002441C7"/>
    <w:rsid w:val="00244618"/>
    <w:rsid w:val="00247CA9"/>
    <w:rsid w:val="00250103"/>
    <w:rsid w:val="002501FE"/>
    <w:rsid w:val="002508D8"/>
    <w:rsid w:val="00250C87"/>
    <w:rsid w:val="00250CEC"/>
    <w:rsid w:val="0025160A"/>
    <w:rsid w:val="00251BE5"/>
    <w:rsid w:val="00253568"/>
    <w:rsid w:val="002538DB"/>
    <w:rsid w:val="00253F33"/>
    <w:rsid w:val="002543CA"/>
    <w:rsid w:val="00256680"/>
    <w:rsid w:val="00257FE7"/>
    <w:rsid w:val="00262597"/>
    <w:rsid w:val="00263F76"/>
    <w:rsid w:val="00264100"/>
    <w:rsid w:val="002644D1"/>
    <w:rsid w:val="00264C40"/>
    <w:rsid w:val="002676DB"/>
    <w:rsid w:val="002678FC"/>
    <w:rsid w:val="00270048"/>
    <w:rsid w:val="00270E4D"/>
    <w:rsid w:val="00271D90"/>
    <w:rsid w:val="00272044"/>
    <w:rsid w:val="00272940"/>
    <w:rsid w:val="002729B9"/>
    <w:rsid w:val="002753DD"/>
    <w:rsid w:val="00275523"/>
    <w:rsid w:val="002757D6"/>
    <w:rsid w:val="00276E18"/>
    <w:rsid w:val="0028084B"/>
    <w:rsid w:val="002808E9"/>
    <w:rsid w:val="002827F1"/>
    <w:rsid w:val="00282ABB"/>
    <w:rsid w:val="00282DB7"/>
    <w:rsid w:val="00283B4F"/>
    <w:rsid w:val="00283C13"/>
    <w:rsid w:val="00284FF4"/>
    <w:rsid w:val="00286E18"/>
    <w:rsid w:val="00286F4E"/>
    <w:rsid w:val="002870C6"/>
    <w:rsid w:val="00287273"/>
    <w:rsid w:val="0029012A"/>
    <w:rsid w:val="00290B3A"/>
    <w:rsid w:val="002910A3"/>
    <w:rsid w:val="002921F9"/>
    <w:rsid w:val="002925C4"/>
    <w:rsid w:val="0029307A"/>
    <w:rsid w:val="00293B4C"/>
    <w:rsid w:val="00293C3F"/>
    <w:rsid w:val="00293DDF"/>
    <w:rsid w:val="00293EA6"/>
    <w:rsid w:val="00295431"/>
    <w:rsid w:val="00295532"/>
    <w:rsid w:val="00295A88"/>
    <w:rsid w:val="0029600C"/>
    <w:rsid w:val="00296A93"/>
    <w:rsid w:val="00297B48"/>
    <w:rsid w:val="002A0A44"/>
    <w:rsid w:val="002A0D0C"/>
    <w:rsid w:val="002A103A"/>
    <w:rsid w:val="002A1B3F"/>
    <w:rsid w:val="002A1B5D"/>
    <w:rsid w:val="002A215A"/>
    <w:rsid w:val="002A3A49"/>
    <w:rsid w:val="002A3C91"/>
    <w:rsid w:val="002A5CC7"/>
    <w:rsid w:val="002A5E86"/>
    <w:rsid w:val="002A77A6"/>
    <w:rsid w:val="002B06DE"/>
    <w:rsid w:val="002B0756"/>
    <w:rsid w:val="002B2182"/>
    <w:rsid w:val="002B24AA"/>
    <w:rsid w:val="002B2BF4"/>
    <w:rsid w:val="002B34A9"/>
    <w:rsid w:val="002B4872"/>
    <w:rsid w:val="002B5236"/>
    <w:rsid w:val="002B52B1"/>
    <w:rsid w:val="002B64DC"/>
    <w:rsid w:val="002B66A9"/>
    <w:rsid w:val="002B6B91"/>
    <w:rsid w:val="002B6D65"/>
    <w:rsid w:val="002B7E1B"/>
    <w:rsid w:val="002B7E7A"/>
    <w:rsid w:val="002C0859"/>
    <w:rsid w:val="002C27B2"/>
    <w:rsid w:val="002C2D67"/>
    <w:rsid w:val="002C311A"/>
    <w:rsid w:val="002C3228"/>
    <w:rsid w:val="002C44E9"/>
    <w:rsid w:val="002C4F11"/>
    <w:rsid w:val="002C56E8"/>
    <w:rsid w:val="002C6025"/>
    <w:rsid w:val="002C7765"/>
    <w:rsid w:val="002C7A49"/>
    <w:rsid w:val="002D00F2"/>
    <w:rsid w:val="002D09EE"/>
    <w:rsid w:val="002D0D03"/>
    <w:rsid w:val="002D1176"/>
    <w:rsid w:val="002D1D38"/>
    <w:rsid w:val="002D244A"/>
    <w:rsid w:val="002D27C0"/>
    <w:rsid w:val="002D32B5"/>
    <w:rsid w:val="002D42F5"/>
    <w:rsid w:val="002D4870"/>
    <w:rsid w:val="002D50A7"/>
    <w:rsid w:val="002D5835"/>
    <w:rsid w:val="002D5BBA"/>
    <w:rsid w:val="002D7223"/>
    <w:rsid w:val="002D7254"/>
    <w:rsid w:val="002D74FF"/>
    <w:rsid w:val="002E1FDB"/>
    <w:rsid w:val="002E4083"/>
    <w:rsid w:val="002E4876"/>
    <w:rsid w:val="002E5A10"/>
    <w:rsid w:val="002E643D"/>
    <w:rsid w:val="002E7419"/>
    <w:rsid w:val="002F0FC2"/>
    <w:rsid w:val="002F15B7"/>
    <w:rsid w:val="002F3D92"/>
    <w:rsid w:val="002F48D8"/>
    <w:rsid w:val="002F72DE"/>
    <w:rsid w:val="002F7C29"/>
    <w:rsid w:val="002F7FA7"/>
    <w:rsid w:val="00300504"/>
    <w:rsid w:val="00300A63"/>
    <w:rsid w:val="00300E03"/>
    <w:rsid w:val="00301298"/>
    <w:rsid w:val="003025D3"/>
    <w:rsid w:val="00304D2D"/>
    <w:rsid w:val="00305532"/>
    <w:rsid w:val="0030560A"/>
    <w:rsid w:val="003057AA"/>
    <w:rsid w:val="00305949"/>
    <w:rsid w:val="00306457"/>
    <w:rsid w:val="00306F10"/>
    <w:rsid w:val="00307526"/>
    <w:rsid w:val="0031226A"/>
    <w:rsid w:val="00312EA0"/>
    <w:rsid w:val="003147C7"/>
    <w:rsid w:val="00314F52"/>
    <w:rsid w:val="00315A8A"/>
    <w:rsid w:val="003160EA"/>
    <w:rsid w:val="003175EF"/>
    <w:rsid w:val="00317AAD"/>
    <w:rsid w:val="0032068D"/>
    <w:rsid w:val="0032088F"/>
    <w:rsid w:val="003214E6"/>
    <w:rsid w:val="003216C9"/>
    <w:rsid w:val="00321A02"/>
    <w:rsid w:val="00322014"/>
    <w:rsid w:val="00322715"/>
    <w:rsid w:val="00322C32"/>
    <w:rsid w:val="0032551D"/>
    <w:rsid w:val="00326621"/>
    <w:rsid w:val="00326999"/>
    <w:rsid w:val="00326D67"/>
    <w:rsid w:val="00327BAA"/>
    <w:rsid w:val="003304A3"/>
    <w:rsid w:val="0033097B"/>
    <w:rsid w:val="00330B9F"/>
    <w:rsid w:val="003311AE"/>
    <w:rsid w:val="00331C77"/>
    <w:rsid w:val="00331E48"/>
    <w:rsid w:val="00333AD3"/>
    <w:rsid w:val="00333DC9"/>
    <w:rsid w:val="00334A5C"/>
    <w:rsid w:val="00334BEE"/>
    <w:rsid w:val="003358A3"/>
    <w:rsid w:val="003359BC"/>
    <w:rsid w:val="00337C5B"/>
    <w:rsid w:val="003408D2"/>
    <w:rsid w:val="00340D3F"/>
    <w:rsid w:val="00340F44"/>
    <w:rsid w:val="00341062"/>
    <w:rsid w:val="00341876"/>
    <w:rsid w:val="003423F9"/>
    <w:rsid w:val="003430E9"/>
    <w:rsid w:val="00344DA7"/>
    <w:rsid w:val="003450EE"/>
    <w:rsid w:val="00345E7D"/>
    <w:rsid w:val="003460EA"/>
    <w:rsid w:val="0034624F"/>
    <w:rsid w:val="00347E19"/>
    <w:rsid w:val="00350A0B"/>
    <w:rsid w:val="0035113C"/>
    <w:rsid w:val="00351923"/>
    <w:rsid w:val="00351D0B"/>
    <w:rsid w:val="00353288"/>
    <w:rsid w:val="0035338B"/>
    <w:rsid w:val="003539B3"/>
    <w:rsid w:val="00353DA6"/>
    <w:rsid w:val="00355305"/>
    <w:rsid w:val="0035668F"/>
    <w:rsid w:val="00356BCC"/>
    <w:rsid w:val="00357F37"/>
    <w:rsid w:val="00360CEB"/>
    <w:rsid w:val="00360E85"/>
    <w:rsid w:val="003611EA"/>
    <w:rsid w:val="00361313"/>
    <w:rsid w:val="00361C54"/>
    <w:rsid w:val="00362AFB"/>
    <w:rsid w:val="003636E3"/>
    <w:rsid w:val="00363C1D"/>
    <w:rsid w:val="0036436C"/>
    <w:rsid w:val="00365233"/>
    <w:rsid w:val="003654A3"/>
    <w:rsid w:val="00367542"/>
    <w:rsid w:val="00367619"/>
    <w:rsid w:val="003676C1"/>
    <w:rsid w:val="00367B5C"/>
    <w:rsid w:val="00371899"/>
    <w:rsid w:val="00372D7F"/>
    <w:rsid w:val="0037320A"/>
    <w:rsid w:val="00373520"/>
    <w:rsid w:val="003735C6"/>
    <w:rsid w:val="00375DFD"/>
    <w:rsid w:val="0037611B"/>
    <w:rsid w:val="003764DC"/>
    <w:rsid w:val="00376BEE"/>
    <w:rsid w:val="00377570"/>
    <w:rsid w:val="0037758A"/>
    <w:rsid w:val="00380DBD"/>
    <w:rsid w:val="00381A2B"/>
    <w:rsid w:val="003822FF"/>
    <w:rsid w:val="00383256"/>
    <w:rsid w:val="003839C9"/>
    <w:rsid w:val="0038796F"/>
    <w:rsid w:val="0039121F"/>
    <w:rsid w:val="003913B0"/>
    <w:rsid w:val="00392AF9"/>
    <w:rsid w:val="00393BB0"/>
    <w:rsid w:val="003942D5"/>
    <w:rsid w:val="003949AD"/>
    <w:rsid w:val="00394BDF"/>
    <w:rsid w:val="00394F16"/>
    <w:rsid w:val="00395B0E"/>
    <w:rsid w:val="003960F6"/>
    <w:rsid w:val="00396217"/>
    <w:rsid w:val="00396592"/>
    <w:rsid w:val="00397011"/>
    <w:rsid w:val="0039747D"/>
    <w:rsid w:val="003A24F5"/>
    <w:rsid w:val="003A2822"/>
    <w:rsid w:val="003A28E4"/>
    <w:rsid w:val="003A2DC8"/>
    <w:rsid w:val="003A2E00"/>
    <w:rsid w:val="003A3DD1"/>
    <w:rsid w:val="003A3F16"/>
    <w:rsid w:val="003A4267"/>
    <w:rsid w:val="003A46F2"/>
    <w:rsid w:val="003A4768"/>
    <w:rsid w:val="003A5117"/>
    <w:rsid w:val="003A5B29"/>
    <w:rsid w:val="003A6C18"/>
    <w:rsid w:val="003A75EB"/>
    <w:rsid w:val="003B07DD"/>
    <w:rsid w:val="003B0BBA"/>
    <w:rsid w:val="003B1326"/>
    <w:rsid w:val="003B1B7D"/>
    <w:rsid w:val="003B1DD5"/>
    <w:rsid w:val="003B3532"/>
    <w:rsid w:val="003B3739"/>
    <w:rsid w:val="003B37B7"/>
    <w:rsid w:val="003B7B8E"/>
    <w:rsid w:val="003C0685"/>
    <w:rsid w:val="003C0B78"/>
    <w:rsid w:val="003C0CDC"/>
    <w:rsid w:val="003C0FB9"/>
    <w:rsid w:val="003C1F49"/>
    <w:rsid w:val="003C3719"/>
    <w:rsid w:val="003C5321"/>
    <w:rsid w:val="003C5814"/>
    <w:rsid w:val="003C5853"/>
    <w:rsid w:val="003C6962"/>
    <w:rsid w:val="003D1F74"/>
    <w:rsid w:val="003D2533"/>
    <w:rsid w:val="003D2E6D"/>
    <w:rsid w:val="003D35BD"/>
    <w:rsid w:val="003D3935"/>
    <w:rsid w:val="003D5552"/>
    <w:rsid w:val="003D5CA8"/>
    <w:rsid w:val="003D5CB3"/>
    <w:rsid w:val="003D6778"/>
    <w:rsid w:val="003D7C6D"/>
    <w:rsid w:val="003D7EBF"/>
    <w:rsid w:val="003E0787"/>
    <w:rsid w:val="003E0A44"/>
    <w:rsid w:val="003E0AC8"/>
    <w:rsid w:val="003E0DA8"/>
    <w:rsid w:val="003E0E48"/>
    <w:rsid w:val="003E19C4"/>
    <w:rsid w:val="003E2F28"/>
    <w:rsid w:val="003E3959"/>
    <w:rsid w:val="003E404A"/>
    <w:rsid w:val="003E5134"/>
    <w:rsid w:val="003E5B17"/>
    <w:rsid w:val="003E5C44"/>
    <w:rsid w:val="003E5D36"/>
    <w:rsid w:val="003E6600"/>
    <w:rsid w:val="003E78A7"/>
    <w:rsid w:val="003E7F55"/>
    <w:rsid w:val="003F0471"/>
    <w:rsid w:val="003F0A65"/>
    <w:rsid w:val="003F18F1"/>
    <w:rsid w:val="003F3C1B"/>
    <w:rsid w:val="003F52B3"/>
    <w:rsid w:val="003F6BEC"/>
    <w:rsid w:val="003F7C96"/>
    <w:rsid w:val="004017E9"/>
    <w:rsid w:val="00401DF7"/>
    <w:rsid w:val="00402735"/>
    <w:rsid w:val="004031BF"/>
    <w:rsid w:val="00403614"/>
    <w:rsid w:val="00403809"/>
    <w:rsid w:val="00404A26"/>
    <w:rsid w:val="0040597E"/>
    <w:rsid w:val="0040693A"/>
    <w:rsid w:val="0040701E"/>
    <w:rsid w:val="00407551"/>
    <w:rsid w:val="0041171E"/>
    <w:rsid w:val="00411B6D"/>
    <w:rsid w:val="00413B86"/>
    <w:rsid w:val="00417C12"/>
    <w:rsid w:val="00417CA7"/>
    <w:rsid w:val="00420118"/>
    <w:rsid w:val="00420F56"/>
    <w:rsid w:val="00421B66"/>
    <w:rsid w:val="00422055"/>
    <w:rsid w:val="00423D74"/>
    <w:rsid w:val="0042541A"/>
    <w:rsid w:val="0042638F"/>
    <w:rsid w:val="004264A5"/>
    <w:rsid w:val="0042665B"/>
    <w:rsid w:val="00426929"/>
    <w:rsid w:val="00426AD4"/>
    <w:rsid w:val="0042721A"/>
    <w:rsid w:val="00430079"/>
    <w:rsid w:val="00430F8C"/>
    <w:rsid w:val="00432A30"/>
    <w:rsid w:val="00433B26"/>
    <w:rsid w:val="00433FFF"/>
    <w:rsid w:val="00434292"/>
    <w:rsid w:val="004360AE"/>
    <w:rsid w:val="0043645C"/>
    <w:rsid w:val="00436997"/>
    <w:rsid w:val="004369E8"/>
    <w:rsid w:val="00436CF2"/>
    <w:rsid w:val="004372AC"/>
    <w:rsid w:val="004377CD"/>
    <w:rsid w:val="004379CB"/>
    <w:rsid w:val="00437C92"/>
    <w:rsid w:val="004404A1"/>
    <w:rsid w:val="00440D63"/>
    <w:rsid w:val="00441E2A"/>
    <w:rsid w:val="00442CCC"/>
    <w:rsid w:val="00443FD3"/>
    <w:rsid w:val="004462D6"/>
    <w:rsid w:val="00446B60"/>
    <w:rsid w:val="00450010"/>
    <w:rsid w:val="00450DF6"/>
    <w:rsid w:val="00451819"/>
    <w:rsid w:val="00452F70"/>
    <w:rsid w:val="0045310A"/>
    <w:rsid w:val="00453A9C"/>
    <w:rsid w:val="00453EED"/>
    <w:rsid w:val="0045457D"/>
    <w:rsid w:val="004563FD"/>
    <w:rsid w:val="004568B7"/>
    <w:rsid w:val="004570C2"/>
    <w:rsid w:val="00460A0D"/>
    <w:rsid w:val="004613FC"/>
    <w:rsid w:val="00462DD0"/>
    <w:rsid w:val="004630CC"/>
    <w:rsid w:val="00464675"/>
    <w:rsid w:val="00464C1F"/>
    <w:rsid w:val="00464FE2"/>
    <w:rsid w:val="004653D0"/>
    <w:rsid w:val="004659D6"/>
    <w:rsid w:val="0046602C"/>
    <w:rsid w:val="004662AB"/>
    <w:rsid w:val="00466C9F"/>
    <w:rsid w:val="00466ED0"/>
    <w:rsid w:val="00466F3F"/>
    <w:rsid w:val="004674B5"/>
    <w:rsid w:val="0046786A"/>
    <w:rsid w:val="004707EF"/>
    <w:rsid w:val="00470A54"/>
    <w:rsid w:val="00470AF4"/>
    <w:rsid w:val="004712D4"/>
    <w:rsid w:val="004714CA"/>
    <w:rsid w:val="0047183A"/>
    <w:rsid w:val="00472059"/>
    <w:rsid w:val="004736F1"/>
    <w:rsid w:val="0047376E"/>
    <w:rsid w:val="00473C98"/>
    <w:rsid w:val="0047452C"/>
    <w:rsid w:val="0047498D"/>
    <w:rsid w:val="00475D94"/>
    <w:rsid w:val="00475F25"/>
    <w:rsid w:val="004760B7"/>
    <w:rsid w:val="00476318"/>
    <w:rsid w:val="0047726B"/>
    <w:rsid w:val="0047793C"/>
    <w:rsid w:val="00477A5D"/>
    <w:rsid w:val="00477B2B"/>
    <w:rsid w:val="004803FC"/>
    <w:rsid w:val="00480B45"/>
    <w:rsid w:val="00480BF5"/>
    <w:rsid w:val="00481133"/>
    <w:rsid w:val="00481563"/>
    <w:rsid w:val="00482A70"/>
    <w:rsid w:val="004833AC"/>
    <w:rsid w:val="0048408D"/>
    <w:rsid w:val="0048459D"/>
    <w:rsid w:val="00484BDA"/>
    <w:rsid w:val="004858AB"/>
    <w:rsid w:val="004859FF"/>
    <w:rsid w:val="00485DFC"/>
    <w:rsid w:val="0048619E"/>
    <w:rsid w:val="00487A0C"/>
    <w:rsid w:val="00487AF2"/>
    <w:rsid w:val="00490C73"/>
    <w:rsid w:val="0049126A"/>
    <w:rsid w:val="00491279"/>
    <w:rsid w:val="004922ED"/>
    <w:rsid w:val="004923F5"/>
    <w:rsid w:val="00493329"/>
    <w:rsid w:val="00493939"/>
    <w:rsid w:val="00493DF2"/>
    <w:rsid w:val="00495181"/>
    <w:rsid w:val="004954AD"/>
    <w:rsid w:val="00495739"/>
    <w:rsid w:val="00495BAD"/>
    <w:rsid w:val="004960FD"/>
    <w:rsid w:val="004963C6"/>
    <w:rsid w:val="0049679C"/>
    <w:rsid w:val="00496D22"/>
    <w:rsid w:val="00496FB5"/>
    <w:rsid w:val="00497321"/>
    <w:rsid w:val="004A0454"/>
    <w:rsid w:val="004A070A"/>
    <w:rsid w:val="004A1917"/>
    <w:rsid w:val="004A1A9A"/>
    <w:rsid w:val="004A225A"/>
    <w:rsid w:val="004A36A9"/>
    <w:rsid w:val="004A445E"/>
    <w:rsid w:val="004A4C46"/>
    <w:rsid w:val="004A4D5C"/>
    <w:rsid w:val="004A4EAC"/>
    <w:rsid w:val="004A4F7C"/>
    <w:rsid w:val="004A63D9"/>
    <w:rsid w:val="004A6AC2"/>
    <w:rsid w:val="004A7813"/>
    <w:rsid w:val="004A7C5B"/>
    <w:rsid w:val="004A7CB8"/>
    <w:rsid w:val="004B03DB"/>
    <w:rsid w:val="004B1177"/>
    <w:rsid w:val="004B346F"/>
    <w:rsid w:val="004B37EE"/>
    <w:rsid w:val="004B3882"/>
    <w:rsid w:val="004B499F"/>
    <w:rsid w:val="004B5574"/>
    <w:rsid w:val="004B72D9"/>
    <w:rsid w:val="004C029A"/>
    <w:rsid w:val="004C0887"/>
    <w:rsid w:val="004C17C0"/>
    <w:rsid w:val="004C1882"/>
    <w:rsid w:val="004C1DEF"/>
    <w:rsid w:val="004C1E09"/>
    <w:rsid w:val="004C23D0"/>
    <w:rsid w:val="004C2D45"/>
    <w:rsid w:val="004C332D"/>
    <w:rsid w:val="004C47D3"/>
    <w:rsid w:val="004C6708"/>
    <w:rsid w:val="004D0401"/>
    <w:rsid w:val="004D0BB0"/>
    <w:rsid w:val="004D0BCA"/>
    <w:rsid w:val="004D0ECB"/>
    <w:rsid w:val="004D2495"/>
    <w:rsid w:val="004D2929"/>
    <w:rsid w:val="004D2E89"/>
    <w:rsid w:val="004D3059"/>
    <w:rsid w:val="004D384D"/>
    <w:rsid w:val="004D4AF6"/>
    <w:rsid w:val="004D4F51"/>
    <w:rsid w:val="004D4F57"/>
    <w:rsid w:val="004D5343"/>
    <w:rsid w:val="004D57DF"/>
    <w:rsid w:val="004D7055"/>
    <w:rsid w:val="004D78E2"/>
    <w:rsid w:val="004E2B4D"/>
    <w:rsid w:val="004E4254"/>
    <w:rsid w:val="004E4C9D"/>
    <w:rsid w:val="004E5BB1"/>
    <w:rsid w:val="004E6BE5"/>
    <w:rsid w:val="004F0846"/>
    <w:rsid w:val="004F2199"/>
    <w:rsid w:val="004F2252"/>
    <w:rsid w:val="004F4AAA"/>
    <w:rsid w:val="004F5185"/>
    <w:rsid w:val="004F521E"/>
    <w:rsid w:val="004F5266"/>
    <w:rsid w:val="004F56B4"/>
    <w:rsid w:val="00500D76"/>
    <w:rsid w:val="00502FD8"/>
    <w:rsid w:val="00503208"/>
    <w:rsid w:val="0050438C"/>
    <w:rsid w:val="005047F0"/>
    <w:rsid w:val="0050487D"/>
    <w:rsid w:val="00504FA1"/>
    <w:rsid w:val="00506990"/>
    <w:rsid w:val="00507D73"/>
    <w:rsid w:val="00507E62"/>
    <w:rsid w:val="00507FBF"/>
    <w:rsid w:val="00510035"/>
    <w:rsid w:val="00510750"/>
    <w:rsid w:val="00510F52"/>
    <w:rsid w:val="00511645"/>
    <w:rsid w:val="00511788"/>
    <w:rsid w:val="0051189F"/>
    <w:rsid w:val="0051284B"/>
    <w:rsid w:val="00513A77"/>
    <w:rsid w:val="0051435C"/>
    <w:rsid w:val="00514665"/>
    <w:rsid w:val="00514C5C"/>
    <w:rsid w:val="00515094"/>
    <w:rsid w:val="00515DB3"/>
    <w:rsid w:val="00516836"/>
    <w:rsid w:val="00516E11"/>
    <w:rsid w:val="0051725B"/>
    <w:rsid w:val="00517A0C"/>
    <w:rsid w:val="00520261"/>
    <w:rsid w:val="00521A69"/>
    <w:rsid w:val="00522ADF"/>
    <w:rsid w:val="00522DBA"/>
    <w:rsid w:val="00522E76"/>
    <w:rsid w:val="00523607"/>
    <w:rsid w:val="00523CAF"/>
    <w:rsid w:val="00523FF0"/>
    <w:rsid w:val="00524643"/>
    <w:rsid w:val="005246D3"/>
    <w:rsid w:val="0052472F"/>
    <w:rsid w:val="00524994"/>
    <w:rsid w:val="00525393"/>
    <w:rsid w:val="0052733E"/>
    <w:rsid w:val="00527DB4"/>
    <w:rsid w:val="0053061B"/>
    <w:rsid w:val="00531350"/>
    <w:rsid w:val="00531778"/>
    <w:rsid w:val="005329F4"/>
    <w:rsid w:val="00532C4F"/>
    <w:rsid w:val="00534038"/>
    <w:rsid w:val="005352FC"/>
    <w:rsid w:val="00535ED8"/>
    <w:rsid w:val="00536FD8"/>
    <w:rsid w:val="00537695"/>
    <w:rsid w:val="00537C38"/>
    <w:rsid w:val="00537E53"/>
    <w:rsid w:val="00541874"/>
    <w:rsid w:val="005428F2"/>
    <w:rsid w:val="00544EB0"/>
    <w:rsid w:val="00545B2A"/>
    <w:rsid w:val="00546251"/>
    <w:rsid w:val="00546806"/>
    <w:rsid w:val="005468A6"/>
    <w:rsid w:val="00546E4A"/>
    <w:rsid w:val="005473FC"/>
    <w:rsid w:val="00547F34"/>
    <w:rsid w:val="005508F8"/>
    <w:rsid w:val="005514E2"/>
    <w:rsid w:val="0055176F"/>
    <w:rsid w:val="00551F63"/>
    <w:rsid w:val="00552238"/>
    <w:rsid w:val="0055227E"/>
    <w:rsid w:val="00552EA2"/>
    <w:rsid w:val="00553B43"/>
    <w:rsid w:val="00553D7D"/>
    <w:rsid w:val="00554278"/>
    <w:rsid w:val="0055523F"/>
    <w:rsid w:val="005566E4"/>
    <w:rsid w:val="00556B46"/>
    <w:rsid w:val="00557B5C"/>
    <w:rsid w:val="005602D9"/>
    <w:rsid w:val="00560DE3"/>
    <w:rsid w:val="00560F3D"/>
    <w:rsid w:val="00561476"/>
    <w:rsid w:val="00561755"/>
    <w:rsid w:val="00562383"/>
    <w:rsid w:val="0056259C"/>
    <w:rsid w:val="005627E4"/>
    <w:rsid w:val="00562B6B"/>
    <w:rsid w:val="005648CF"/>
    <w:rsid w:val="00565002"/>
    <w:rsid w:val="00566333"/>
    <w:rsid w:val="00566864"/>
    <w:rsid w:val="00567107"/>
    <w:rsid w:val="005677FD"/>
    <w:rsid w:val="00567EA0"/>
    <w:rsid w:val="00570575"/>
    <w:rsid w:val="00570AE6"/>
    <w:rsid w:val="00570D30"/>
    <w:rsid w:val="0057289C"/>
    <w:rsid w:val="00572B84"/>
    <w:rsid w:val="00572E38"/>
    <w:rsid w:val="00573085"/>
    <w:rsid w:val="00573323"/>
    <w:rsid w:val="00573E5C"/>
    <w:rsid w:val="00574BEF"/>
    <w:rsid w:val="0057631A"/>
    <w:rsid w:val="00576351"/>
    <w:rsid w:val="00576662"/>
    <w:rsid w:val="005768FC"/>
    <w:rsid w:val="005770A4"/>
    <w:rsid w:val="00580F17"/>
    <w:rsid w:val="005817B3"/>
    <w:rsid w:val="00581E57"/>
    <w:rsid w:val="00582467"/>
    <w:rsid w:val="00582C6B"/>
    <w:rsid w:val="0058329B"/>
    <w:rsid w:val="005836AF"/>
    <w:rsid w:val="00583D2E"/>
    <w:rsid w:val="00583FC5"/>
    <w:rsid w:val="00584520"/>
    <w:rsid w:val="00584664"/>
    <w:rsid w:val="0058552B"/>
    <w:rsid w:val="00587E56"/>
    <w:rsid w:val="0059024A"/>
    <w:rsid w:val="00590916"/>
    <w:rsid w:val="005912F7"/>
    <w:rsid w:val="00591EBB"/>
    <w:rsid w:val="005921DD"/>
    <w:rsid w:val="00592478"/>
    <w:rsid w:val="005936B7"/>
    <w:rsid w:val="00594D42"/>
    <w:rsid w:val="00594F20"/>
    <w:rsid w:val="00595116"/>
    <w:rsid w:val="005A0FB6"/>
    <w:rsid w:val="005A119A"/>
    <w:rsid w:val="005A1EC6"/>
    <w:rsid w:val="005A36F5"/>
    <w:rsid w:val="005A4223"/>
    <w:rsid w:val="005A6715"/>
    <w:rsid w:val="005A6EB8"/>
    <w:rsid w:val="005B0BB7"/>
    <w:rsid w:val="005B0C23"/>
    <w:rsid w:val="005B0F3F"/>
    <w:rsid w:val="005B10F9"/>
    <w:rsid w:val="005B10FE"/>
    <w:rsid w:val="005B16AF"/>
    <w:rsid w:val="005B185A"/>
    <w:rsid w:val="005B40A5"/>
    <w:rsid w:val="005B4950"/>
    <w:rsid w:val="005B59D0"/>
    <w:rsid w:val="005B60B4"/>
    <w:rsid w:val="005B63BE"/>
    <w:rsid w:val="005B75B0"/>
    <w:rsid w:val="005C0208"/>
    <w:rsid w:val="005C1875"/>
    <w:rsid w:val="005C27C5"/>
    <w:rsid w:val="005C282E"/>
    <w:rsid w:val="005C3D18"/>
    <w:rsid w:val="005C3FD8"/>
    <w:rsid w:val="005C408D"/>
    <w:rsid w:val="005C4FBD"/>
    <w:rsid w:val="005C7A4A"/>
    <w:rsid w:val="005D046C"/>
    <w:rsid w:val="005D05E2"/>
    <w:rsid w:val="005D0696"/>
    <w:rsid w:val="005D071D"/>
    <w:rsid w:val="005D0810"/>
    <w:rsid w:val="005D1919"/>
    <w:rsid w:val="005D1A0E"/>
    <w:rsid w:val="005D1A4E"/>
    <w:rsid w:val="005D1D62"/>
    <w:rsid w:val="005D1F7D"/>
    <w:rsid w:val="005D2BB6"/>
    <w:rsid w:val="005D3343"/>
    <w:rsid w:val="005D605A"/>
    <w:rsid w:val="005D6606"/>
    <w:rsid w:val="005D6AA4"/>
    <w:rsid w:val="005D6C5C"/>
    <w:rsid w:val="005D6D2F"/>
    <w:rsid w:val="005D719D"/>
    <w:rsid w:val="005D7F0D"/>
    <w:rsid w:val="005E0307"/>
    <w:rsid w:val="005E0A59"/>
    <w:rsid w:val="005E1F90"/>
    <w:rsid w:val="005E2FE9"/>
    <w:rsid w:val="005E34C5"/>
    <w:rsid w:val="005E353F"/>
    <w:rsid w:val="005E3E83"/>
    <w:rsid w:val="005E3EEB"/>
    <w:rsid w:val="005E42ED"/>
    <w:rsid w:val="005E4D29"/>
    <w:rsid w:val="005E4E9F"/>
    <w:rsid w:val="005E4FB5"/>
    <w:rsid w:val="005E589A"/>
    <w:rsid w:val="005E6B9A"/>
    <w:rsid w:val="005E6E33"/>
    <w:rsid w:val="005F07E6"/>
    <w:rsid w:val="005F07FE"/>
    <w:rsid w:val="005F12BC"/>
    <w:rsid w:val="005F1E3E"/>
    <w:rsid w:val="005F1EA5"/>
    <w:rsid w:val="005F1FE6"/>
    <w:rsid w:val="005F2020"/>
    <w:rsid w:val="005F24E8"/>
    <w:rsid w:val="005F359E"/>
    <w:rsid w:val="005F3A3A"/>
    <w:rsid w:val="005F3F3C"/>
    <w:rsid w:val="005F4534"/>
    <w:rsid w:val="005F4DA7"/>
    <w:rsid w:val="005F65FA"/>
    <w:rsid w:val="0060007F"/>
    <w:rsid w:val="00600742"/>
    <w:rsid w:val="00601B09"/>
    <w:rsid w:val="0060231F"/>
    <w:rsid w:val="006025B9"/>
    <w:rsid w:val="00602BEC"/>
    <w:rsid w:val="00603B91"/>
    <w:rsid w:val="00605236"/>
    <w:rsid w:val="006058EB"/>
    <w:rsid w:val="00605AE3"/>
    <w:rsid w:val="00606C5B"/>
    <w:rsid w:val="006074CC"/>
    <w:rsid w:val="00607DB8"/>
    <w:rsid w:val="00607DD5"/>
    <w:rsid w:val="00607E5E"/>
    <w:rsid w:val="00610541"/>
    <w:rsid w:val="00610F99"/>
    <w:rsid w:val="00611A9D"/>
    <w:rsid w:val="0061200B"/>
    <w:rsid w:val="0061264F"/>
    <w:rsid w:val="0061265B"/>
    <w:rsid w:val="00612AD0"/>
    <w:rsid w:val="00613452"/>
    <w:rsid w:val="006137AC"/>
    <w:rsid w:val="00613A52"/>
    <w:rsid w:val="00614D33"/>
    <w:rsid w:val="006152D6"/>
    <w:rsid w:val="0061555E"/>
    <w:rsid w:val="00615A7B"/>
    <w:rsid w:val="00616D8E"/>
    <w:rsid w:val="006179CF"/>
    <w:rsid w:val="0062143A"/>
    <w:rsid w:val="006215CF"/>
    <w:rsid w:val="006217C8"/>
    <w:rsid w:val="006226C1"/>
    <w:rsid w:val="0062281D"/>
    <w:rsid w:val="00623321"/>
    <w:rsid w:val="006233BE"/>
    <w:rsid w:val="006234CF"/>
    <w:rsid w:val="00626A96"/>
    <w:rsid w:val="00627B90"/>
    <w:rsid w:val="00630086"/>
    <w:rsid w:val="00630616"/>
    <w:rsid w:val="00630BF5"/>
    <w:rsid w:val="00630FA3"/>
    <w:rsid w:val="00631AC4"/>
    <w:rsid w:val="0063201B"/>
    <w:rsid w:val="0063344C"/>
    <w:rsid w:val="00633C4D"/>
    <w:rsid w:val="00633D8F"/>
    <w:rsid w:val="0063466A"/>
    <w:rsid w:val="00635FCB"/>
    <w:rsid w:val="00641448"/>
    <w:rsid w:val="006417F1"/>
    <w:rsid w:val="00642505"/>
    <w:rsid w:val="00643374"/>
    <w:rsid w:val="00644453"/>
    <w:rsid w:val="00644E9B"/>
    <w:rsid w:val="00645B5B"/>
    <w:rsid w:val="00646CD7"/>
    <w:rsid w:val="006505FF"/>
    <w:rsid w:val="00650C36"/>
    <w:rsid w:val="00652719"/>
    <w:rsid w:val="00653353"/>
    <w:rsid w:val="00653779"/>
    <w:rsid w:val="00653D58"/>
    <w:rsid w:val="00653F96"/>
    <w:rsid w:val="0065469D"/>
    <w:rsid w:val="006555B9"/>
    <w:rsid w:val="00655609"/>
    <w:rsid w:val="00655C41"/>
    <w:rsid w:val="006575AF"/>
    <w:rsid w:val="00660047"/>
    <w:rsid w:val="00661058"/>
    <w:rsid w:val="0066126B"/>
    <w:rsid w:val="00661662"/>
    <w:rsid w:val="00662644"/>
    <w:rsid w:val="006646B0"/>
    <w:rsid w:val="006647F7"/>
    <w:rsid w:val="006652D7"/>
    <w:rsid w:val="00665C0C"/>
    <w:rsid w:val="00665D05"/>
    <w:rsid w:val="00666F30"/>
    <w:rsid w:val="00667E90"/>
    <w:rsid w:val="006700F3"/>
    <w:rsid w:val="006705ED"/>
    <w:rsid w:val="00671396"/>
    <w:rsid w:val="00671E0E"/>
    <w:rsid w:val="00672064"/>
    <w:rsid w:val="00672646"/>
    <w:rsid w:val="00672C4D"/>
    <w:rsid w:val="00672D9A"/>
    <w:rsid w:val="006730C8"/>
    <w:rsid w:val="00673B9A"/>
    <w:rsid w:val="00673E32"/>
    <w:rsid w:val="006742B2"/>
    <w:rsid w:val="00674B58"/>
    <w:rsid w:val="006760C4"/>
    <w:rsid w:val="006761BB"/>
    <w:rsid w:val="00677813"/>
    <w:rsid w:val="00677D52"/>
    <w:rsid w:val="00677EDA"/>
    <w:rsid w:val="006806B7"/>
    <w:rsid w:val="0068082C"/>
    <w:rsid w:val="006820ED"/>
    <w:rsid w:val="00682495"/>
    <w:rsid w:val="006827D7"/>
    <w:rsid w:val="0068318D"/>
    <w:rsid w:val="00683990"/>
    <w:rsid w:val="00684452"/>
    <w:rsid w:val="00686362"/>
    <w:rsid w:val="00686D33"/>
    <w:rsid w:val="0068712B"/>
    <w:rsid w:val="006873E9"/>
    <w:rsid w:val="00687C1B"/>
    <w:rsid w:val="00690578"/>
    <w:rsid w:val="00690860"/>
    <w:rsid w:val="00691C36"/>
    <w:rsid w:val="006924D2"/>
    <w:rsid w:val="00693FA1"/>
    <w:rsid w:val="0069495D"/>
    <w:rsid w:val="00696D65"/>
    <w:rsid w:val="006975F2"/>
    <w:rsid w:val="00697786"/>
    <w:rsid w:val="006A0305"/>
    <w:rsid w:val="006A0616"/>
    <w:rsid w:val="006A09BE"/>
    <w:rsid w:val="006A122B"/>
    <w:rsid w:val="006A1423"/>
    <w:rsid w:val="006A14CB"/>
    <w:rsid w:val="006A1985"/>
    <w:rsid w:val="006A1A7D"/>
    <w:rsid w:val="006A1A97"/>
    <w:rsid w:val="006A2225"/>
    <w:rsid w:val="006A272A"/>
    <w:rsid w:val="006A2F01"/>
    <w:rsid w:val="006A2F83"/>
    <w:rsid w:val="006A35D1"/>
    <w:rsid w:val="006A461F"/>
    <w:rsid w:val="006A4C42"/>
    <w:rsid w:val="006A4DD5"/>
    <w:rsid w:val="006A6603"/>
    <w:rsid w:val="006A7E85"/>
    <w:rsid w:val="006B04F2"/>
    <w:rsid w:val="006B0AEC"/>
    <w:rsid w:val="006B184D"/>
    <w:rsid w:val="006B1BF0"/>
    <w:rsid w:val="006B3F6E"/>
    <w:rsid w:val="006B413C"/>
    <w:rsid w:val="006B453B"/>
    <w:rsid w:val="006B577A"/>
    <w:rsid w:val="006B621A"/>
    <w:rsid w:val="006B74B1"/>
    <w:rsid w:val="006B7836"/>
    <w:rsid w:val="006C1139"/>
    <w:rsid w:val="006C3445"/>
    <w:rsid w:val="006C3A2B"/>
    <w:rsid w:val="006C3BB3"/>
    <w:rsid w:val="006C3E55"/>
    <w:rsid w:val="006C492C"/>
    <w:rsid w:val="006C4FDD"/>
    <w:rsid w:val="006C515C"/>
    <w:rsid w:val="006C58BD"/>
    <w:rsid w:val="006C5EEC"/>
    <w:rsid w:val="006C6632"/>
    <w:rsid w:val="006D0466"/>
    <w:rsid w:val="006D0942"/>
    <w:rsid w:val="006D1151"/>
    <w:rsid w:val="006D3CD6"/>
    <w:rsid w:val="006D409D"/>
    <w:rsid w:val="006D4488"/>
    <w:rsid w:val="006D4CA8"/>
    <w:rsid w:val="006D58E2"/>
    <w:rsid w:val="006D6380"/>
    <w:rsid w:val="006D638F"/>
    <w:rsid w:val="006D673A"/>
    <w:rsid w:val="006D68A9"/>
    <w:rsid w:val="006D7A3F"/>
    <w:rsid w:val="006D7CC8"/>
    <w:rsid w:val="006E0CE1"/>
    <w:rsid w:val="006E14B7"/>
    <w:rsid w:val="006E1621"/>
    <w:rsid w:val="006E3B67"/>
    <w:rsid w:val="006E3EEB"/>
    <w:rsid w:val="006E45C9"/>
    <w:rsid w:val="006E46DA"/>
    <w:rsid w:val="006E4A4B"/>
    <w:rsid w:val="006E6116"/>
    <w:rsid w:val="006E6225"/>
    <w:rsid w:val="006E683D"/>
    <w:rsid w:val="006E6B73"/>
    <w:rsid w:val="006E6ED6"/>
    <w:rsid w:val="006E7360"/>
    <w:rsid w:val="006E7488"/>
    <w:rsid w:val="006E77CE"/>
    <w:rsid w:val="006F0F7A"/>
    <w:rsid w:val="006F1B82"/>
    <w:rsid w:val="006F2FBE"/>
    <w:rsid w:val="006F3A1E"/>
    <w:rsid w:val="006F3F76"/>
    <w:rsid w:val="006F4AAE"/>
    <w:rsid w:val="006F4E06"/>
    <w:rsid w:val="006F513E"/>
    <w:rsid w:val="006F59DB"/>
    <w:rsid w:val="006F7926"/>
    <w:rsid w:val="00703543"/>
    <w:rsid w:val="0070459A"/>
    <w:rsid w:val="00704610"/>
    <w:rsid w:val="00704A4E"/>
    <w:rsid w:val="007059F7"/>
    <w:rsid w:val="0071097B"/>
    <w:rsid w:val="007115F1"/>
    <w:rsid w:val="007116ED"/>
    <w:rsid w:val="00712E8E"/>
    <w:rsid w:val="00713103"/>
    <w:rsid w:val="0071310A"/>
    <w:rsid w:val="007136B0"/>
    <w:rsid w:val="007137B3"/>
    <w:rsid w:val="00715FFD"/>
    <w:rsid w:val="00717E9F"/>
    <w:rsid w:val="007200D2"/>
    <w:rsid w:val="00720FCD"/>
    <w:rsid w:val="00721F6E"/>
    <w:rsid w:val="00723BCD"/>
    <w:rsid w:val="00724114"/>
    <w:rsid w:val="0072538A"/>
    <w:rsid w:val="00725524"/>
    <w:rsid w:val="0072564F"/>
    <w:rsid w:val="0072601D"/>
    <w:rsid w:val="007260BD"/>
    <w:rsid w:val="0072658F"/>
    <w:rsid w:val="00726889"/>
    <w:rsid w:val="00727487"/>
    <w:rsid w:val="00727AC8"/>
    <w:rsid w:val="00730E37"/>
    <w:rsid w:val="0073122E"/>
    <w:rsid w:val="0073282C"/>
    <w:rsid w:val="00732ED5"/>
    <w:rsid w:val="0073374B"/>
    <w:rsid w:val="00733C24"/>
    <w:rsid w:val="007345B2"/>
    <w:rsid w:val="007364E7"/>
    <w:rsid w:val="0073677F"/>
    <w:rsid w:val="00737401"/>
    <w:rsid w:val="00737B5B"/>
    <w:rsid w:val="00737CFA"/>
    <w:rsid w:val="00742B60"/>
    <w:rsid w:val="00746556"/>
    <w:rsid w:val="007466C8"/>
    <w:rsid w:val="007469CE"/>
    <w:rsid w:val="00747B9C"/>
    <w:rsid w:val="007501EB"/>
    <w:rsid w:val="00750A06"/>
    <w:rsid w:val="0075104E"/>
    <w:rsid w:val="00751755"/>
    <w:rsid w:val="00751D85"/>
    <w:rsid w:val="00751E3E"/>
    <w:rsid w:val="00752BA4"/>
    <w:rsid w:val="00753242"/>
    <w:rsid w:val="00753BA4"/>
    <w:rsid w:val="00755800"/>
    <w:rsid w:val="00755A15"/>
    <w:rsid w:val="00755A25"/>
    <w:rsid w:val="00755D40"/>
    <w:rsid w:val="0075623E"/>
    <w:rsid w:val="0075753A"/>
    <w:rsid w:val="00757FD5"/>
    <w:rsid w:val="00760362"/>
    <w:rsid w:val="0076044E"/>
    <w:rsid w:val="00760A68"/>
    <w:rsid w:val="0076157D"/>
    <w:rsid w:val="0076158F"/>
    <w:rsid w:val="00762735"/>
    <w:rsid w:val="0076305C"/>
    <w:rsid w:val="00763539"/>
    <w:rsid w:val="00763706"/>
    <w:rsid w:val="00765679"/>
    <w:rsid w:val="0076702D"/>
    <w:rsid w:val="00767175"/>
    <w:rsid w:val="0076742F"/>
    <w:rsid w:val="00770E44"/>
    <w:rsid w:val="00771E2F"/>
    <w:rsid w:val="00772DC5"/>
    <w:rsid w:val="0077318B"/>
    <w:rsid w:val="00776272"/>
    <w:rsid w:val="00776ED8"/>
    <w:rsid w:val="00777628"/>
    <w:rsid w:val="0078004E"/>
    <w:rsid w:val="00780D10"/>
    <w:rsid w:val="00781FF3"/>
    <w:rsid w:val="0078229A"/>
    <w:rsid w:val="0078317D"/>
    <w:rsid w:val="007833DA"/>
    <w:rsid w:val="00783618"/>
    <w:rsid w:val="00783A91"/>
    <w:rsid w:val="00783D85"/>
    <w:rsid w:val="007848D1"/>
    <w:rsid w:val="00785BDA"/>
    <w:rsid w:val="00786133"/>
    <w:rsid w:val="00786291"/>
    <w:rsid w:val="0078693A"/>
    <w:rsid w:val="00786A11"/>
    <w:rsid w:val="0078756F"/>
    <w:rsid w:val="00790266"/>
    <w:rsid w:val="00791A97"/>
    <w:rsid w:val="00792518"/>
    <w:rsid w:val="00793D8A"/>
    <w:rsid w:val="007940B0"/>
    <w:rsid w:val="007951E3"/>
    <w:rsid w:val="0079532C"/>
    <w:rsid w:val="00795DAB"/>
    <w:rsid w:val="007966AE"/>
    <w:rsid w:val="00796F3C"/>
    <w:rsid w:val="007977AD"/>
    <w:rsid w:val="00797969"/>
    <w:rsid w:val="007A02CF"/>
    <w:rsid w:val="007A0801"/>
    <w:rsid w:val="007A09FB"/>
    <w:rsid w:val="007A2F02"/>
    <w:rsid w:val="007A329D"/>
    <w:rsid w:val="007A332C"/>
    <w:rsid w:val="007A3D71"/>
    <w:rsid w:val="007A3F7A"/>
    <w:rsid w:val="007A4419"/>
    <w:rsid w:val="007A4DC1"/>
    <w:rsid w:val="007A4EDA"/>
    <w:rsid w:val="007A51DE"/>
    <w:rsid w:val="007A51F5"/>
    <w:rsid w:val="007A54BE"/>
    <w:rsid w:val="007A5969"/>
    <w:rsid w:val="007A5CA3"/>
    <w:rsid w:val="007A658F"/>
    <w:rsid w:val="007A6AC0"/>
    <w:rsid w:val="007A7138"/>
    <w:rsid w:val="007B067C"/>
    <w:rsid w:val="007B3803"/>
    <w:rsid w:val="007B49CF"/>
    <w:rsid w:val="007B5DBA"/>
    <w:rsid w:val="007B5EB5"/>
    <w:rsid w:val="007B697B"/>
    <w:rsid w:val="007B70DF"/>
    <w:rsid w:val="007B7830"/>
    <w:rsid w:val="007C01B1"/>
    <w:rsid w:val="007C0667"/>
    <w:rsid w:val="007C1B0A"/>
    <w:rsid w:val="007C268F"/>
    <w:rsid w:val="007C2BF1"/>
    <w:rsid w:val="007C4B13"/>
    <w:rsid w:val="007C508D"/>
    <w:rsid w:val="007C566A"/>
    <w:rsid w:val="007C59A7"/>
    <w:rsid w:val="007C61FB"/>
    <w:rsid w:val="007C6668"/>
    <w:rsid w:val="007C7762"/>
    <w:rsid w:val="007D0C0F"/>
    <w:rsid w:val="007D0C5B"/>
    <w:rsid w:val="007D25C5"/>
    <w:rsid w:val="007D3770"/>
    <w:rsid w:val="007D3C29"/>
    <w:rsid w:val="007D420C"/>
    <w:rsid w:val="007D6AD1"/>
    <w:rsid w:val="007D7B0E"/>
    <w:rsid w:val="007E00AA"/>
    <w:rsid w:val="007E0E8E"/>
    <w:rsid w:val="007E1148"/>
    <w:rsid w:val="007E36A5"/>
    <w:rsid w:val="007E3C3E"/>
    <w:rsid w:val="007E4272"/>
    <w:rsid w:val="007E46F9"/>
    <w:rsid w:val="007E4943"/>
    <w:rsid w:val="007E6948"/>
    <w:rsid w:val="007F0562"/>
    <w:rsid w:val="007F0A9E"/>
    <w:rsid w:val="007F1282"/>
    <w:rsid w:val="007F173A"/>
    <w:rsid w:val="007F23DD"/>
    <w:rsid w:val="007F3227"/>
    <w:rsid w:val="007F3751"/>
    <w:rsid w:val="007F443B"/>
    <w:rsid w:val="007F5DA1"/>
    <w:rsid w:val="007F5E7C"/>
    <w:rsid w:val="007F6DC4"/>
    <w:rsid w:val="007F6E83"/>
    <w:rsid w:val="007F7C04"/>
    <w:rsid w:val="008001CE"/>
    <w:rsid w:val="00800357"/>
    <w:rsid w:val="00800DD1"/>
    <w:rsid w:val="00801208"/>
    <w:rsid w:val="0080154E"/>
    <w:rsid w:val="008016E6"/>
    <w:rsid w:val="0080248D"/>
    <w:rsid w:val="00803856"/>
    <w:rsid w:val="008039BC"/>
    <w:rsid w:val="00805082"/>
    <w:rsid w:val="008053BE"/>
    <w:rsid w:val="008057FA"/>
    <w:rsid w:val="008059DA"/>
    <w:rsid w:val="00805F72"/>
    <w:rsid w:val="00807340"/>
    <w:rsid w:val="00807781"/>
    <w:rsid w:val="008102C1"/>
    <w:rsid w:val="00810BD2"/>
    <w:rsid w:val="0081166E"/>
    <w:rsid w:val="00812B44"/>
    <w:rsid w:val="00812D50"/>
    <w:rsid w:val="008133ED"/>
    <w:rsid w:val="00813F68"/>
    <w:rsid w:val="00814D23"/>
    <w:rsid w:val="008152F9"/>
    <w:rsid w:val="00815B8B"/>
    <w:rsid w:val="00815F8F"/>
    <w:rsid w:val="00816A5F"/>
    <w:rsid w:val="00817443"/>
    <w:rsid w:val="0082015F"/>
    <w:rsid w:val="00820AB3"/>
    <w:rsid w:val="00821044"/>
    <w:rsid w:val="008218A7"/>
    <w:rsid w:val="00822181"/>
    <w:rsid w:val="0082301F"/>
    <w:rsid w:val="008245F0"/>
    <w:rsid w:val="008257AD"/>
    <w:rsid w:val="00825B48"/>
    <w:rsid w:val="00825E5E"/>
    <w:rsid w:val="0082652A"/>
    <w:rsid w:val="00826C88"/>
    <w:rsid w:val="008279F2"/>
    <w:rsid w:val="008304B8"/>
    <w:rsid w:val="008306AC"/>
    <w:rsid w:val="008306D2"/>
    <w:rsid w:val="00831681"/>
    <w:rsid w:val="00831A53"/>
    <w:rsid w:val="00832330"/>
    <w:rsid w:val="00833278"/>
    <w:rsid w:val="00833801"/>
    <w:rsid w:val="00833C83"/>
    <w:rsid w:val="008342FE"/>
    <w:rsid w:val="00834C9F"/>
    <w:rsid w:val="008353D6"/>
    <w:rsid w:val="00835C06"/>
    <w:rsid w:val="00835DE2"/>
    <w:rsid w:val="0083601C"/>
    <w:rsid w:val="008364A5"/>
    <w:rsid w:val="008375EA"/>
    <w:rsid w:val="00837886"/>
    <w:rsid w:val="00837A54"/>
    <w:rsid w:val="0084110D"/>
    <w:rsid w:val="00841B55"/>
    <w:rsid w:val="00841C60"/>
    <w:rsid w:val="00842C88"/>
    <w:rsid w:val="00842DC4"/>
    <w:rsid w:val="00843691"/>
    <w:rsid w:val="00843834"/>
    <w:rsid w:val="0084433E"/>
    <w:rsid w:val="008449AE"/>
    <w:rsid w:val="00844DE7"/>
    <w:rsid w:val="008452A9"/>
    <w:rsid w:val="00845AE3"/>
    <w:rsid w:val="00846482"/>
    <w:rsid w:val="00846522"/>
    <w:rsid w:val="00847583"/>
    <w:rsid w:val="0084771B"/>
    <w:rsid w:val="00851644"/>
    <w:rsid w:val="00855519"/>
    <w:rsid w:val="008555D4"/>
    <w:rsid w:val="0085674F"/>
    <w:rsid w:val="00856B3F"/>
    <w:rsid w:val="00857817"/>
    <w:rsid w:val="00857876"/>
    <w:rsid w:val="0086049E"/>
    <w:rsid w:val="00861A08"/>
    <w:rsid w:val="00861E25"/>
    <w:rsid w:val="008620D6"/>
    <w:rsid w:val="00862682"/>
    <w:rsid w:val="00862EC0"/>
    <w:rsid w:val="00863D48"/>
    <w:rsid w:val="0086591C"/>
    <w:rsid w:val="00865A15"/>
    <w:rsid w:val="00866AA5"/>
    <w:rsid w:val="00866D8C"/>
    <w:rsid w:val="00870122"/>
    <w:rsid w:val="00870163"/>
    <w:rsid w:val="0087080B"/>
    <w:rsid w:val="00870BB0"/>
    <w:rsid w:val="008718FB"/>
    <w:rsid w:val="0087232C"/>
    <w:rsid w:val="00872EE0"/>
    <w:rsid w:val="00873A5D"/>
    <w:rsid w:val="00875173"/>
    <w:rsid w:val="0087633A"/>
    <w:rsid w:val="00880658"/>
    <w:rsid w:val="008817BA"/>
    <w:rsid w:val="00881CF1"/>
    <w:rsid w:val="00881E7C"/>
    <w:rsid w:val="00882EB3"/>
    <w:rsid w:val="0088602A"/>
    <w:rsid w:val="00886A67"/>
    <w:rsid w:val="00886D64"/>
    <w:rsid w:val="008910E7"/>
    <w:rsid w:val="00891AB1"/>
    <w:rsid w:val="00891AEE"/>
    <w:rsid w:val="00891C3B"/>
    <w:rsid w:val="0089232A"/>
    <w:rsid w:val="00892486"/>
    <w:rsid w:val="00892506"/>
    <w:rsid w:val="008925AD"/>
    <w:rsid w:val="00892A6F"/>
    <w:rsid w:val="008930F8"/>
    <w:rsid w:val="00895727"/>
    <w:rsid w:val="008960B9"/>
    <w:rsid w:val="00897822"/>
    <w:rsid w:val="008A0153"/>
    <w:rsid w:val="008A05C8"/>
    <w:rsid w:val="008A05E9"/>
    <w:rsid w:val="008A0A50"/>
    <w:rsid w:val="008A0A65"/>
    <w:rsid w:val="008A0F7E"/>
    <w:rsid w:val="008A15D1"/>
    <w:rsid w:val="008A177A"/>
    <w:rsid w:val="008A20D3"/>
    <w:rsid w:val="008A3782"/>
    <w:rsid w:val="008A4580"/>
    <w:rsid w:val="008A4BA1"/>
    <w:rsid w:val="008A581E"/>
    <w:rsid w:val="008A5942"/>
    <w:rsid w:val="008A7A07"/>
    <w:rsid w:val="008B00C3"/>
    <w:rsid w:val="008B02F8"/>
    <w:rsid w:val="008B11C7"/>
    <w:rsid w:val="008B12C8"/>
    <w:rsid w:val="008B1521"/>
    <w:rsid w:val="008B1A98"/>
    <w:rsid w:val="008B3424"/>
    <w:rsid w:val="008B379B"/>
    <w:rsid w:val="008B39C8"/>
    <w:rsid w:val="008B5BDA"/>
    <w:rsid w:val="008B620D"/>
    <w:rsid w:val="008B7210"/>
    <w:rsid w:val="008B7ADD"/>
    <w:rsid w:val="008C0774"/>
    <w:rsid w:val="008C0EC6"/>
    <w:rsid w:val="008C107C"/>
    <w:rsid w:val="008C1D9F"/>
    <w:rsid w:val="008C22F1"/>
    <w:rsid w:val="008C2FBD"/>
    <w:rsid w:val="008C3D36"/>
    <w:rsid w:val="008C3E29"/>
    <w:rsid w:val="008C44FE"/>
    <w:rsid w:val="008C49CB"/>
    <w:rsid w:val="008C5739"/>
    <w:rsid w:val="008C62C9"/>
    <w:rsid w:val="008C64AB"/>
    <w:rsid w:val="008C65AF"/>
    <w:rsid w:val="008C73C3"/>
    <w:rsid w:val="008C7C3B"/>
    <w:rsid w:val="008C7D90"/>
    <w:rsid w:val="008D0BBC"/>
    <w:rsid w:val="008D0FA0"/>
    <w:rsid w:val="008D1E12"/>
    <w:rsid w:val="008D34EF"/>
    <w:rsid w:val="008D3EAF"/>
    <w:rsid w:val="008D43C7"/>
    <w:rsid w:val="008D43DE"/>
    <w:rsid w:val="008D65A8"/>
    <w:rsid w:val="008D6F94"/>
    <w:rsid w:val="008D75DB"/>
    <w:rsid w:val="008E01BC"/>
    <w:rsid w:val="008E0279"/>
    <w:rsid w:val="008E12A9"/>
    <w:rsid w:val="008E143D"/>
    <w:rsid w:val="008E4B86"/>
    <w:rsid w:val="008E4D5F"/>
    <w:rsid w:val="008E6435"/>
    <w:rsid w:val="008E74C0"/>
    <w:rsid w:val="008E7AEC"/>
    <w:rsid w:val="008F0192"/>
    <w:rsid w:val="008F0718"/>
    <w:rsid w:val="008F0E05"/>
    <w:rsid w:val="008F0FE0"/>
    <w:rsid w:val="008F1032"/>
    <w:rsid w:val="008F10FB"/>
    <w:rsid w:val="008F2769"/>
    <w:rsid w:val="008F3A94"/>
    <w:rsid w:val="008F3C15"/>
    <w:rsid w:val="008F5E53"/>
    <w:rsid w:val="008F7921"/>
    <w:rsid w:val="00900B5A"/>
    <w:rsid w:val="00901012"/>
    <w:rsid w:val="009011AC"/>
    <w:rsid w:val="009014FA"/>
    <w:rsid w:val="00901553"/>
    <w:rsid w:val="00902180"/>
    <w:rsid w:val="00903A72"/>
    <w:rsid w:val="00904146"/>
    <w:rsid w:val="00904427"/>
    <w:rsid w:val="00905886"/>
    <w:rsid w:val="00906617"/>
    <w:rsid w:val="009113A3"/>
    <w:rsid w:val="009116BD"/>
    <w:rsid w:val="00912354"/>
    <w:rsid w:val="0091242E"/>
    <w:rsid w:val="00912B0D"/>
    <w:rsid w:val="00913639"/>
    <w:rsid w:val="009141A2"/>
    <w:rsid w:val="00914546"/>
    <w:rsid w:val="009147CE"/>
    <w:rsid w:val="009147FD"/>
    <w:rsid w:val="00914D98"/>
    <w:rsid w:val="00915C10"/>
    <w:rsid w:val="00915CC3"/>
    <w:rsid w:val="009162ED"/>
    <w:rsid w:val="009166F4"/>
    <w:rsid w:val="00917CE3"/>
    <w:rsid w:val="00917E25"/>
    <w:rsid w:val="00920122"/>
    <w:rsid w:val="009201AC"/>
    <w:rsid w:val="00920310"/>
    <w:rsid w:val="009203C1"/>
    <w:rsid w:val="009203E0"/>
    <w:rsid w:val="00920C9C"/>
    <w:rsid w:val="0092149D"/>
    <w:rsid w:val="00921831"/>
    <w:rsid w:val="00922A36"/>
    <w:rsid w:val="0092355C"/>
    <w:rsid w:val="009241F9"/>
    <w:rsid w:val="009246BA"/>
    <w:rsid w:val="009255E2"/>
    <w:rsid w:val="009259B2"/>
    <w:rsid w:val="00925CEC"/>
    <w:rsid w:val="009264C1"/>
    <w:rsid w:val="0092659B"/>
    <w:rsid w:val="00926848"/>
    <w:rsid w:val="00927995"/>
    <w:rsid w:val="00927F11"/>
    <w:rsid w:val="009301A2"/>
    <w:rsid w:val="009313E1"/>
    <w:rsid w:val="00932AF8"/>
    <w:rsid w:val="00932F88"/>
    <w:rsid w:val="00933078"/>
    <w:rsid w:val="009335AF"/>
    <w:rsid w:val="00933D49"/>
    <w:rsid w:val="00934986"/>
    <w:rsid w:val="00934AAA"/>
    <w:rsid w:val="00935683"/>
    <w:rsid w:val="0093568F"/>
    <w:rsid w:val="00935A7D"/>
    <w:rsid w:val="00935BA5"/>
    <w:rsid w:val="00935EBF"/>
    <w:rsid w:val="00936A15"/>
    <w:rsid w:val="00936B56"/>
    <w:rsid w:val="00940612"/>
    <w:rsid w:val="00941ECE"/>
    <w:rsid w:val="009421EF"/>
    <w:rsid w:val="009432F1"/>
    <w:rsid w:val="009448FF"/>
    <w:rsid w:val="0094585A"/>
    <w:rsid w:val="00946841"/>
    <w:rsid w:val="009502F3"/>
    <w:rsid w:val="009508D8"/>
    <w:rsid w:val="00951E53"/>
    <w:rsid w:val="009522A2"/>
    <w:rsid w:val="009533D6"/>
    <w:rsid w:val="00953BBF"/>
    <w:rsid w:val="00954A98"/>
    <w:rsid w:val="00954F2F"/>
    <w:rsid w:val="009552DE"/>
    <w:rsid w:val="00955C7C"/>
    <w:rsid w:val="009568BF"/>
    <w:rsid w:val="00956ED8"/>
    <w:rsid w:val="0095793B"/>
    <w:rsid w:val="00957B40"/>
    <w:rsid w:val="0096007C"/>
    <w:rsid w:val="00960617"/>
    <w:rsid w:val="00961A93"/>
    <w:rsid w:val="0096225B"/>
    <w:rsid w:val="00962A5E"/>
    <w:rsid w:val="00963517"/>
    <w:rsid w:val="00963725"/>
    <w:rsid w:val="00963E45"/>
    <w:rsid w:val="009647B8"/>
    <w:rsid w:val="00966531"/>
    <w:rsid w:val="00966ECC"/>
    <w:rsid w:val="009670AD"/>
    <w:rsid w:val="009702C5"/>
    <w:rsid w:val="00970698"/>
    <w:rsid w:val="009711DC"/>
    <w:rsid w:val="00971870"/>
    <w:rsid w:val="00971E28"/>
    <w:rsid w:val="00972F16"/>
    <w:rsid w:val="0097417C"/>
    <w:rsid w:val="00974EB5"/>
    <w:rsid w:val="0097554B"/>
    <w:rsid w:val="00975AAE"/>
    <w:rsid w:val="0097615A"/>
    <w:rsid w:val="00976EBE"/>
    <w:rsid w:val="00982318"/>
    <w:rsid w:val="00982E78"/>
    <w:rsid w:val="009846E4"/>
    <w:rsid w:val="00986020"/>
    <w:rsid w:val="00986613"/>
    <w:rsid w:val="009866E6"/>
    <w:rsid w:val="00986A40"/>
    <w:rsid w:val="00987479"/>
    <w:rsid w:val="009912C2"/>
    <w:rsid w:val="00991D61"/>
    <w:rsid w:val="00991E8E"/>
    <w:rsid w:val="00993020"/>
    <w:rsid w:val="0099327D"/>
    <w:rsid w:val="0099370F"/>
    <w:rsid w:val="00993ED1"/>
    <w:rsid w:val="009942B7"/>
    <w:rsid w:val="0099469B"/>
    <w:rsid w:val="00994BD3"/>
    <w:rsid w:val="00994E4F"/>
    <w:rsid w:val="00994FEE"/>
    <w:rsid w:val="00996D8A"/>
    <w:rsid w:val="00996ED8"/>
    <w:rsid w:val="00997383"/>
    <w:rsid w:val="00997680"/>
    <w:rsid w:val="00997FC4"/>
    <w:rsid w:val="009A01A4"/>
    <w:rsid w:val="009A01DA"/>
    <w:rsid w:val="009A030E"/>
    <w:rsid w:val="009A096D"/>
    <w:rsid w:val="009A1146"/>
    <w:rsid w:val="009A1166"/>
    <w:rsid w:val="009A1570"/>
    <w:rsid w:val="009A1C9A"/>
    <w:rsid w:val="009A2608"/>
    <w:rsid w:val="009A292E"/>
    <w:rsid w:val="009A2C5E"/>
    <w:rsid w:val="009A2C71"/>
    <w:rsid w:val="009A31DE"/>
    <w:rsid w:val="009A343B"/>
    <w:rsid w:val="009A3CD1"/>
    <w:rsid w:val="009A5301"/>
    <w:rsid w:val="009A55AA"/>
    <w:rsid w:val="009A6210"/>
    <w:rsid w:val="009A66C1"/>
    <w:rsid w:val="009A6D1A"/>
    <w:rsid w:val="009A7660"/>
    <w:rsid w:val="009A7C46"/>
    <w:rsid w:val="009B0184"/>
    <w:rsid w:val="009B0A3C"/>
    <w:rsid w:val="009B1183"/>
    <w:rsid w:val="009B1B4B"/>
    <w:rsid w:val="009B2023"/>
    <w:rsid w:val="009B2CCC"/>
    <w:rsid w:val="009B3668"/>
    <w:rsid w:val="009B4EB6"/>
    <w:rsid w:val="009B522F"/>
    <w:rsid w:val="009B5427"/>
    <w:rsid w:val="009B5DA3"/>
    <w:rsid w:val="009B60B6"/>
    <w:rsid w:val="009B62EC"/>
    <w:rsid w:val="009B647E"/>
    <w:rsid w:val="009B6DBA"/>
    <w:rsid w:val="009B70F7"/>
    <w:rsid w:val="009C0333"/>
    <w:rsid w:val="009C043C"/>
    <w:rsid w:val="009C080D"/>
    <w:rsid w:val="009C0BEE"/>
    <w:rsid w:val="009C1E17"/>
    <w:rsid w:val="009C25D5"/>
    <w:rsid w:val="009C269B"/>
    <w:rsid w:val="009C27FB"/>
    <w:rsid w:val="009C302F"/>
    <w:rsid w:val="009C32F9"/>
    <w:rsid w:val="009C37A8"/>
    <w:rsid w:val="009C53AF"/>
    <w:rsid w:val="009C6900"/>
    <w:rsid w:val="009C6F87"/>
    <w:rsid w:val="009C735F"/>
    <w:rsid w:val="009C790E"/>
    <w:rsid w:val="009C798B"/>
    <w:rsid w:val="009D0208"/>
    <w:rsid w:val="009D0DC0"/>
    <w:rsid w:val="009D1945"/>
    <w:rsid w:val="009D1A34"/>
    <w:rsid w:val="009D2BD8"/>
    <w:rsid w:val="009D2C2E"/>
    <w:rsid w:val="009D300A"/>
    <w:rsid w:val="009D3AA6"/>
    <w:rsid w:val="009D5140"/>
    <w:rsid w:val="009D51A8"/>
    <w:rsid w:val="009D5DB7"/>
    <w:rsid w:val="009D5F69"/>
    <w:rsid w:val="009D64EF"/>
    <w:rsid w:val="009D7EF5"/>
    <w:rsid w:val="009E0FC2"/>
    <w:rsid w:val="009E2161"/>
    <w:rsid w:val="009E504E"/>
    <w:rsid w:val="009E5292"/>
    <w:rsid w:val="009E55D9"/>
    <w:rsid w:val="009E6043"/>
    <w:rsid w:val="009E6493"/>
    <w:rsid w:val="009E66D9"/>
    <w:rsid w:val="009E6AD3"/>
    <w:rsid w:val="009E6FD7"/>
    <w:rsid w:val="009E708F"/>
    <w:rsid w:val="009E7A08"/>
    <w:rsid w:val="009F1C7C"/>
    <w:rsid w:val="009F2436"/>
    <w:rsid w:val="009F244E"/>
    <w:rsid w:val="009F2919"/>
    <w:rsid w:val="009F3537"/>
    <w:rsid w:val="009F3BE8"/>
    <w:rsid w:val="009F3EA4"/>
    <w:rsid w:val="009F3F1F"/>
    <w:rsid w:val="009F447A"/>
    <w:rsid w:val="009F4D9D"/>
    <w:rsid w:val="009F533C"/>
    <w:rsid w:val="009F5DAD"/>
    <w:rsid w:val="009F6F96"/>
    <w:rsid w:val="00A0002C"/>
    <w:rsid w:val="00A005B7"/>
    <w:rsid w:val="00A005D9"/>
    <w:rsid w:val="00A0075D"/>
    <w:rsid w:val="00A0083B"/>
    <w:rsid w:val="00A00D7F"/>
    <w:rsid w:val="00A00F2A"/>
    <w:rsid w:val="00A01491"/>
    <w:rsid w:val="00A01AD1"/>
    <w:rsid w:val="00A02061"/>
    <w:rsid w:val="00A0249E"/>
    <w:rsid w:val="00A04BA3"/>
    <w:rsid w:val="00A05186"/>
    <w:rsid w:val="00A05543"/>
    <w:rsid w:val="00A05CD2"/>
    <w:rsid w:val="00A1057D"/>
    <w:rsid w:val="00A10A89"/>
    <w:rsid w:val="00A12C5F"/>
    <w:rsid w:val="00A12EB9"/>
    <w:rsid w:val="00A13054"/>
    <w:rsid w:val="00A1384A"/>
    <w:rsid w:val="00A146E4"/>
    <w:rsid w:val="00A15F74"/>
    <w:rsid w:val="00A1619C"/>
    <w:rsid w:val="00A16AC0"/>
    <w:rsid w:val="00A174D5"/>
    <w:rsid w:val="00A17795"/>
    <w:rsid w:val="00A17A44"/>
    <w:rsid w:val="00A20C6E"/>
    <w:rsid w:val="00A21A48"/>
    <w:rsid w:val="00A22A68"/>
    <w:rsid w:val="00A25C78"/>
    <w:rsid w:val="00A2622D"/>
    <w:rsid w:val="00A26615"/>
    <w:rsid w:val="00A274C1"/>
    <w:rsid w:val="00A308E0"/>
    <w:rsid w:val="00A30ABD"/>
    <w:rsid w:val="00A30B28"/>
    <w:rsid w:val="00A31262"/>
    <w:rsid w:val="00A31AEB"/>
    <w:rsid w:val="00A3227D"/>
    <w:rsid w:val="00A322ED"/>
    <w:rsid w:val="00A3423D"/>
    <w:rsid w:val="00A344CC"/>
    <w:rsid w:val="00A360A2"/>
    <w:rsid w:val="00A36C6E"/>
    <w:rsid w:val="00A374DA"/>
    <w:rsid w:val="00A379B6"/>
    <w:rsid w:val="00A37A95"/>
    <w:rsid w:val="00A404AB"/>
    <w:rsid w:val="00A40980"/>
    <w:rsid w:val="00A40BB4"/>
    <w:rsid w:val="00A415AA"/>
    <w:rsid w:val="00A41AC0"/>
    <w:rsid w:val="00A4345F"/>
    <w:rsid w:val="00A4387C"/>
    <w:rsid w:val="00A43A5E"/>
    <w:rsid w:val="00A4413C"/>
    <w:rsid w:val="00A44752"/>
    <w:rsid w:val="00A44DB4"/>
    <w:rsid w:val="00A451A1"/>
    <w:rsid w:val="00A4619B"/>
    <w:rsid w:val="00A4627A"/>
    <w:rsid w:val="00A50723"/>
    <w:rsid w:val="00A514A3"/>
    <w:rsid w:val="00A524DB"/>
    <w:rsid w:val="00A52A73"/>
    <w:rsid w:val="00A533AF"/>
    <w:rsid w:val="00A53B65"/>
    <w:rsid w:val="00A53C35"/>
    <w:rsid w:val="00A549FE"/>
    <w:rsid w:val="00A55FC3"/>
    <w:rsid w:val="00A57013"/>
    <w:rsid w:val="00A57023"/>
    <w:rsid w:val="00A5716E"/>
    <w:rsid w:val="00A574C2"/>
    <w:rsid w:val="00A57554"/>
    <w:rsid w:val="00A57904"/>
    <w:rsid w:val="00A610E5"/>
    <w:rsid w:val="00A6192C"/>
    <w:rsid w:val="00A62C14"/>
    <w:rsid w:val="00A634C1"/>
    <w:rsid w:val="00A63B42"/>
    <w:rsid w:val="00A63FB7"/>
    <w:rsid w:val="00A6499D"/>
    <w:rsid w:val="00A64E1B"/>
    <w:rsid w:val="00A65D23"/>
    <w:rsid w:val="00A6629A"/>
    <w:rsid w:val="00A66E4B"/>
    <w:rsid w:val="00A6747A"/>
    <w:rsid w:val="00A71AE9"/>
    <w:rsid w:val="00A725F8"/>
    <w:rsid w:val="00A7294F"/>
    <w:rsid w:val="00A72CD7"/>
    <w:rsid w:val="00A74A9A"/>
    <w:rsid w:val="00A74F78"/>
    <w:rsid w:val="00A76913"/>
    <w:rsid w:val="00A76FB7"/>
    <w:rsid w:val="00A77C34"/>
    <w:rsid w:val="00A80C86"/>
    <w:rsid w:val="00A81254"/>
    <w:rsid w:val="00A81D47"/>
    <w:rsid w:val="00A8243D"/>
    <w:rsid w:val="00A82727"/>
    <w:rsid w:val="00A83A73"/>
    <w:rsid w:val="00A8603B"/>
    <w:rsid w:val="00A862DA"/>
    <w:rsid w:val="00A86498"/>
    <w:rsid w:val="00A86B12"/>
    <w:rsid w:val="00A8728C"/>
    <w:rsid w:val="00A872C3"/>
    <w:rsid w:val="00A87581"/>
    <w:rsid w:val="00A8783D"/>
    <w:rsid w:val="00A908FE"/>
    <w:rsid w:val="00A90EF5"/>
    <w:rsid w:val="00A913FC"/>
    <w:rsid w:val="00A91A88"/>
    <w:rsid w:val="00A91DBB"/>
    <w:rsid w:val="00A91F62"/>
    <w:rsid w:val="00A922E3"/>
    <w:rsid w:val="00A9256D"/>
    <w:rsid w:val="00A92626"/>
    <w:rsid w:val="00A94A0E"/>
    <w:rsid w:val="00A94BC9"/>
    <w:rsid w:val="00A95AEF"/>
    <w:rsid w:val="00A95D3F"/>
    <w:rsid w:val="00A96B6A"/>
    <w:rsid w:val="00A973C2"/>
    <w:rsid w:val="00A976BE"/>
    <w:rsid w:val="00A97A52"/>
    <w:rsid w:val="00A97DF1"/>
    <w:rsid w:val="00AA2A76"/>
    <w:rsid w:val="00AA3A95"/>
    <w:rsid w:val="00AA3C19"/>
    <w:rsid w:val="00AA6182"/>
    <w:rsid w:val="00AA6AA1"/>
    <w:rsid w:val="00AA6BBD"/>
    <w:rsid w:val="00AA75D6"/>
    <w:rsid w:val="00AA7937"/>
    <w:rsid w:val="00AB19C8"/>
    <w:rsid w:val="00AB1B63"/>
    <w:rsid w:val="00AB2DE5"/>
    <w:rsid w:val="00AB3345"/>
    <w:rsid w:val="00AB3720"/>
    <w:rsid w:val="00AB3983"/>
    <w:rsid w:val="00AB47D1"/>
    <w:rsid w:val="00AB5206"/>
    <w:rsid w:val="00AB6060"/>
    <w:rsid w:val="00AB6D1E"/>
    <w:rsid w:val="00AB771F"/>
    <w:rsid w:val="00AC08FE"/>
    <w:rsid w:val="00AC0CFE"/>
    <w:rsid w:val="00AC0EB5"/>
    <w:rsid w:val="00AC3B95"/>
    <w:rsid w:val="00AC3BE6"/>
    <w:rsid w:val="00AC6346"/>
    <w:rsid w:val="00AC71CC"/>
    <w:rsid w:val="00AC7CFE"/>
    <w:rsid w:val="00AD0118"/>
    <w:rsid w:val="00AD0612"/>
    <w:rsid w:val="00AD254E"/>
    <w:rsid w:val="00AD28C4"/>
    <w:rsid w:val="00AD2AB2"/>
    <w:rsid w:val="00AD303B"/>
    <w:rsid w:val="00AD325D"/>
    <w:rsid w:val="00AD3545"/>
    <w:rsid w:val="00AD3BA0"/>
    <w:rsid w:val="00AD4642"/>
    <w:rsid w:val="00AD5872"/>
    <w:rsid w:val="00AD602A"/>
    <w:rsid w:val="00AD62A2"/>
    <w:rsid w:val="00AE0FB7"/>
    <w:rsid w:val="00AE2231"/>
    <w:rsid w:val="00AE2477"/>
    <w:rsid w:val="00AE2CB9"/>
    <w:rsid w:val="00AE34D9"/>
    <w:rsid w:val="00AE373E"/>
    <w:rsid w:val="00AE4463"/>
    <w:rsid w:val="00AE577C"/>
    <w:rsid w:val="00AE5CB0"/>
    <w:rsid w:val="00AE5DC0"/>
    <w:rsid w:val="00AE7AE5"/>
    <w:rsid w:val="00AF0A57"/>
    <w:rsid w:val="00AF0FCC"/>
    <w:rsid w:val="00AF1B4D"/>
    <w:rsid w:val="00AF1D2B"/>
    <w:rsid w:val="00AF2056"/>
    <w:rsid w:val="00AF2827"/>
    <w:rsid w:val="00AF29D3"/>
    <w:rsid w:val="00AF37AA"/>
    <w:rsid w:val="00AF390D"/>
    <w:rsid w:val="00AF3E88"/>
    <w:rsid w:val="00AF3FB3"/>
    <w:rsid w:val="00AF425A"/>
    <w:rsid w:val="00AF4ACE"/>
    <w:rsid w:val="00AF4F54"/>
    <w:rsid w:val="00AF4F62"/>
    <w:rsid w:val="00AF638F"/>
    <w:rsid w:val="00AF65EF"/>
    <w:rsid w:val="00AF663F"/>
    <w:rsid w:val="00AF72B9"/>
    <w:rsid w:val="00AF7E00"/>
    <w:rsid w:val="00B00AC5"/>
    <w:rsid w:val="00B00EA0"/>
    <w:rsid w:val="00B0135B"/>
    <w:rsid w:val="00B01556"/>
    <w:rsid w:val="00B0194C"/>
    <w:rsid w:val="00B02D17"/>
    <w:rsid w:val="00B0369A"/>
    <w:rsid w:val="00B03B1E"/>
    <w:rsid w:val="00B03B78"/>
    <w:rsid w:val="00B047F2"/>
    <w:rsid w:val="00B050A0"/>
    <w:rsid w:val="00B06489"/>
    <w:rsid w:val="00B0675F"/>
    <w:rsid w:val="00B069E6"/>
    <w:rsid w:val="00B06F26"/>
    <w:rsid w:val="00B07559"/>
    <w:rsid w:val="00B077BB"/>
    <w:rsid w:val="00B10004"/>
    <w:rsid w:val="00B12BF7"/>
    <w:rsid w:val="00B14232"/>
    <w:rsid w:val="00B144F0"/>
    <w:rsid w:val="00B1541F"/>
    <w:rsid w:val="00B1689D"/>
    <w:rsid w:val="00B17173"/>
    <w:rsid w:val="00B20470"/>
    <w:rsid w:val="00B20E7E"/>
    <w:rsid w:val="00B2140D"/>
    <w:rsid w:val="00B214B8"/>
    <w:rsid w:val="00B21DF8"/>
    <w:rsid w:val="00B22A39"/>
    <w:rsid w:val="00B24B02"/>
    <w:rsid w:val="00B24E75"/>
    <w:rsid w:val="00B25621"/>
    <w:rsid w:val="00B25E49"/>
    <w:rsid w:val="00B26A0C"/>
    <w:rsid w:val="00B3106A"/>
    <w:rsid w:val="00B32F18"/>
    <w:rsid w:val="00B33133"/>
    <w:rsid w:val="00B33A5B"/>
    <w:rsid w:val="00B35812"/>
    <w:rsid w:val="00B35AEF"/>
    <w:rsid w:val="00B36468"/>
    <w:rsid w:val="00B37D34"/>
    <w:rsid w:val="00B400CB"/>
    <w:rsid w:val="00B409B8"/>
    <w:rsid w:val="00B40B49"/>
    <w:rsid w:val="00B426AC"/>
    <w:rsid w:val="00B426F7"/>
    <w:rsid w:val="00B431D6"/>
    <w:rsid w:val="00B43233"/>
    <w:rsid w:val="00B43BD5"/>
    <w:rsid w:val="00B43C49"/>
    <w:rsid w:val="00B45721"/>
    <w:rsid w:val="00B459C9"/>
    <w:rsid w:val="00B45E77"/>
    <w:rsid w:val="00B4601F"/>
    <w:rsid w:val="00B4677A"/>
    <w:rsid w:val="00B46A8E"/>
    <w:rsid w:val="00B46FF0"/>
    <w:rsid w:val="00B47136"/>
    <w:rsid w:val="00B50D66"/>
    <w:rsid w:val="00B5102B"/>
    <w:rsid w:val="00B512D7"/>
    <w:rsid w:val="00B52426"/>
    <w:rsid w:val="00B52C13"/>
    <w:rsid w:val="00B5375A"/>
    <w:rsid w:val="00B53EDB"/>
    <w:rsid w:val="00B54057"/>
    <w:rsid w:val="00B54059"/>
    <w:rsid w:val="00B568DC"/>
    <w:rsid w:val="00B5703C"/>
    <w:rsid w:val="00B57169"/>
    <w:rsid w:val="00B5743B"/>
    <w:rsid w:val="00B605FE"/>
    <w:rsid w:val="00B6090E"/>
    <w:rsid w:val="00B616A7"/>
    <w:rsid w:val="00B61800"/>
    <w:rsid w:val="00B624AA"/>
    <w:rsid w:val="00B62944"/>
    <w:rsid w:val="00B62B9E"/>
    <w:rsid w:val="00B64253"/>
    <w:rsid w:val="00B649DC"/>
    <w:rsid w:val="00B64FC7"/>
    <w:rsid w:val="00B65482"/>
    <w:rsid w:val="00B6592E"/>
    <w:rsid w:val="00B662B3"/>
    <w:rsid w:val="00B67030"/>
    <w:rsid w:val="00B6746B"/>
    <w:rsid w:val="00B6799B"/>
    <w:rsid w:val="00B720F7"/>
    <w:rsid w:val="00B7323F"/>
    <w:rsid w:val="00B73675"/>
    <w:rsid w:val="00B740E8"/>
    <w:rsid w:val="00B75275"/>
    <w:rsid w:val="00B754CA"/>
    <w:rsid w:val="00B77F3D"/>
    <w:rsid w:val="00B80C7D"/>
    <w:rsid w:val="00B819C7"/>
    <w:rsid w:val="00B82532"/>
    <w:rsid w:val="00B83B68"/>
    <w:rsid w:val="00B845BD"/>
    <w:rsid w:val="00B84843"/>
    <w:rsid w:val="00B848C7"/>
    <w:rsid w:val="00B856C8"/>
    <w:rsid w:val="00B863AF"/>
    <w:rsid w:val="00B865B1"/>
    <w:rsid w:val="00B866F0"/>
    <w:rsid w:val="00B8721A"/>
    <w:rsid w:val="00B87FC5"/>
    <w:rsid w:val="00B90465"/>
    <w:rsid w:val="00B9088B"/>
    <w:rsid w:val="00B91388"/>
    <w:rsid w:val="00B9212C"/>
    <w:rsid w:val="00B93727"/>
    <w:rsid w:val="00B937F0"/>
    <w:rsid w:val="00B93834"/>
    <w:rsid w:val="00B93A30"/>
    <w:rsid w:val="00B93CB0"/>
    <w:rsid w:val="00B941AE"/>
    <w:rsid w:val="00B9428C"/>
    <w:rsid w:val="00B9453F"/>
    <w:rsid w:val="00B954BE"/>
    <w:rsid w:val="00B95EE1"/>
    <w:rsid w:val="00B97967"/>
    <w:rsid w:val="00B97C08"/>
    <w:rsid w:val="00B97D4F"/>
    <w:rsid w:val="00BA0710"/>
    <w:rsid w:val="00BA1B1E"/>
    <w:rsid w:val="00BA1D36"/>
    <w:rsid w:val="00BA1F05"/>
    <w:rsid w:val="00BA30BE"/>
    <w:rsid w:val="00BA3B5C"/>
    <w:rsid w:val="00BA48DC"/>
    <w:rsid w:val="00BA5C75"/>
    <w:rsid w:val="00BA6953"/>
    <w:rsid w:val="00BA7EBE"/>
    <w:rsid w:val="00BB0351"/>
    <w:rsid w:val="00BB03AB"/>
    <w:rsid w:val="00BB0F9A"/>
    <w:rsid w:val="00BB3BE6"/>
    <w:rsid w:val="00BB4406"/>
    <w:rsid w:val="00BB6177"/>
    <w:rsid w:val="00BB61A8"/>
    <w:rsid w:val="00BB63AB"/>
    <w:rsid w:val="00BC152C"/>
    <w:rsid w:val="00BC2518"/>
    <w:rsid w:val="00BC36D3"/>
    <w:rsid w:val="00BC3724"/>
    <w:rsid w:val="00BC3DAE"/>
    <w:rsid w:val="00BC3EC8"/>
    <w:rsid w:val="00BC4409"/>
    <w:rsid w:val="00BC46C3"/>
    <w:rsid w:val="00BC617E"/>
    <w:rsid w:val="00BC7058"/>
    <w:rsid w:val="00BC7450"/>
    <w:rsid w:val="00BC791F"/>
    <w:rsid w:val="00BD30B2"/>
    <w:rsid w:val="00BD388C"/>
    <w:rsid w:val="00BD3F77"/>
    <w:rsid w:val="00BD45D2"/>
    <w:rsid w:val="00BD49F6"/>
    <w:rsid w:val="00BD4D78"/>
    <w:rsid w:val="00BD4E1A"/>
    <w:rsid w:val="00BD57F0"/>
    <w:rsid w:val="00BD5952"/>
    <w:rsid w:val="00BD62AE"/>
    <w:rsid w:val="00BE04ED"/>
    <w:rsid w:val="00BE10F8"/>
    <w:rsid w:val="00BE200D"/>
    <w:rsid w:val="00BE21CB"/>
    <w:rsid w:val="00BE3F7A"/>
    <w:rsid w:val="00BE54DA"/>
    <w:rsid w:val="00BE6F38"/>
    <w:rsid w:val="00BF1A5C"/>
    <w:rsid w:val="00BF1F95"/>
    <w:rsid w:val="00BF24DB"/>
    <w:rsid w:val="00BF3201"/>
    <w:rsid w:val="00BF4E2C"/>
    <w:rsid w:val="00BF51D8"/>
    <w:rsid w:val="00BF542A"/>
    <w:rsid w:val="00BF5B39"/>
    <w:rsid w:val="00BF621C"/>
    <w:rsid w:val="00BF6ED2"/>
    <w:rsid w:val="00C00035"/>
    <w:rsid w:val="00C00A36"/>
    <w:rsid w:val="00C0130C"/>
    <w:rsid w:val="00C01EC3"/>
    <w:rsid w:val="00C02972"/>
    <w:rsid w:val="00C03B58"/>
    <w:rsid w:val="00C045BA"/>
    <w:rsid w:val="00C0645C"/>
    <w:rsid w:val="00C0653B"/>
    <w:rsid w:val="00C0727B"/>
    <w:rsid w:val="00C10DF3"/>
    <w:rsid w:val="00C1187D"/>
    <w:rsid w:val="00C11917"/>
    <w:rsid w:val="00C11D33"/>
    <w:rsid w:val="00C1261B"/>
    <w:rsid w:val="00C12C6E"/>
    <w:rsid w:val="00C13BC1"/>
    <w:rsid w:val="00C14282"/>
    <w:rsid w:val="00C14CA8"/>
    <w:rsid w:val="00C14F59"/>
    <w:rsid w:val="00C1570D"/>
    <w:rsid w:val="00C15D78"/>
    <w:rsid w:val="00C16522"/>
    <w:rsid w:val="00C16BB6"/>
    <w:rsid w:val="00C17997"/>
    <w:rsid w:val="00C202AE"/>
    <w:rsid w:val="00C209B4"/>
    <w:rsid w:val="00C212BE"/>
    <w:rsid w:val="00C214F0"/>
    <w:rsid w:val="00C219BF"/>
    <w:rsid w:val="00C227F6"/>
    <w:rsid w:val="00C22924"/>
    <w:rsid w:val="00C257ED"/>
    <w:rsid w:val="00C26A41"/>
    <w:rsid w:val="00C273DC"/>
    <w:rsid w:val="00C277C3"/>
    <w:rsid w:val="00C3070B"/>
    <w:rsid w:val="00C31911"/>
    <w:rsid w:val="00C31D10"/>
    <w:rsid w:val="00C31D23"/>
    <w:rsid w:val="00C33521"/>
    <w:rsid w:val="00C34281"/>
    <w:rsid w:val="00C3476C"/>
    <w:rsid w:val="00C34977"/>
    <w:rsid w:val="00C354A8"/>
    <w:rsid w:val="00C36406"/>
    <w:rsid w:val="00C36E95"/>
    <w:rsid w:val="00C37E79"/>
    <w:rsid w:val="00C37F31"/>
    <w:rsid w:val="00C40069"/>
    <w:rsid w:val="00C40BA2"/>
    <w:rsid w:val="00C425F6"/>
    <w:rsid w:val="00C46100"/>
    <w:rsid w:val="00C47FA4"/>
    <w:rsid w:val="00C507EB"/>
    <w:rsid w:val="00C5186D"/>
    <w:rsid w:val="00C52EB9"/>
    <w:rsid w:val="00C531B0"/>
    <w:rsid w:val="00C534F3"/>
    <w:rsid w:val="00C53F5A"/>
    <w:rsid w:val="00C53F72"/>
    <w:rsid w:val="00C54B99"/>
    <w:rsid w:val="00C54C3F"/>
    <w:rsid w:val="00C54CE7"/>
    <w:rsid w:val="00C555FD"/>
    <w:rsid w:val="00C557A8"/>
    <w:rsid w:val="00C55B80"/>
    <w:rsid w:val="00C56150"/>
    <w:rsid w:val="00C56E19"/>
    <w:rsid w:val="00C579E8"/>
    <w:rsid w:val="00C57C6A"/>
    <w:rsid w:val="00C60FE4"/>
    <w:rsid w:val="00C61F2F"/>
    <w:rsid w:val="00C625A1"/>
    <w:rsid w:val="00C63D1E"/>
    <w:rsid w:val="00C64B02"/>
    <w:rsid w:val="00C64C41"/>
    <w:rsid w:val="00C65397"/>
    <w:rsid w:val="00C65443"/>
    <w:rsid w:val="00C66265"/>
    <w:rsid w:val="00C670D5"/>
    <w:rsid w:val="00C6795A"/>
    <w:rsid w:val="00C706FF"/>
    <w:rsid w:val="00C716C7"/>
    <w:rsid w:val="00C719E0"/>
    <w:rsid w:val="00C71BD5"/>
    <w:rsid w:val="00C71BD6"/>
    <w:rsid w:val="00C729AE"/>
    <w:rsid w:val="00C7339E"/>
    <w:rsid w:val="00C75C95"/>
    <w:rsid w:val="00C7746F"/>
    <w:rsid w:val="00C77F25"/>
    <w:rsid w:val="00C8083B"/>
    <w:rsid w:val="00C81CF5"/>
    <w:rsid w:val="00C8255F"/>
    <w:rsid w:val="00C8273D"/>
    <w:rsid w:val="00C82BC2"/>
    <w:rsid w:val="00C8377C"/>
    <w:rsid w:val="00C83E0F"/>
    <w:rsid w:val="00C8483E"/>
    <w:rsid w:val="00C86FD5"/>
    <w:rsid w:val="00C8741F"/>
    <w:rsid w:val="00C87475"/>
    <w:rsid w:val="00C900C5"/>
    <w:rsid w:val="00C90BCE"/>
    <w:rsid w:val="00C90DFA"/>
    <w:rsid w:val="00C914F6"/>
    <w:rsid w:val="00C952C9"/>
    <w:rsid w:val="00C968D5"/>
    <w:rsid w:val="00C9708C"/>
    <w:rsid w:val="00C97780"/>
    <w:rsid w:val="00C97960"/>
    <w:rsid w:val="00C97F1A"/>
    <w:rsid w:val="00CA0976"/>
    <w:rsid w:val="00CA0DE2"/>
    <w:rsid w:val="00CA1CAA"/>
    <w:rsid w:val="00CA305E"/>
    <w:rsid w:val="00CA30DE"/>
    <w:rsid w:val="00CA342D"/>
    <w:rsid w:val="00CA3CFA"/>
    <w:rsid w:val="00CA3FE9"/>
    <w:rsid w:val="00CA46C0"/>
    <w:rsid w:val="00CA4FC0"/>
    <w:rsid w:val="00CA5159"/>
    <w:rsid w:val="00CA559B"/>
    <w:rsid w:val="00CA55A1"/>
    <w:rsid w:val="00CB075B"/>
    <w:rsid w:val="00CB0826"/>
    <w:rsid w:val="00CB1130"/>
    <w:rsid w:val="00CB1F20"/>
    <w:rsid w:val="00CB33CB"/>
    <w:rsid w:val="00CB417F"/>
    <w:rsid w:val="00CB5C01"/>
    <w:rsid w:val="00CB660F"/>
    <w:rsid w:val="00CB6DFE"/>
    <w:rsid w:val="00CC021C"/>
    <w:rsid w:val="00CC06A6"/>
    <w:rsid w:val="00CC0B4D"/>
    <w:rsid w:val="00CC4A3B"/>
    <w:rsid w:val="00CC51AA"/>
    <w:rsid w:val="00CC6B3A"/>
    <w:rsid w:val="00CC70C9"/>
    <w:rsid w:val="00CC74EC"/>
    <w:rsid w:val="00CD0429"/>
    <w:rsid w:val="00CD18D2"/>
    <w:rsid w:val="00CD2831"/>
    <w:rsid w:val="00CD3AF6"/>
    <w:rsid w:val="00CD3BD7"/>
    <w:rsid w:val="00CD4168"/>
    <w:rsid w:val="00CD44CE"/>
    <w:rsid w:val="00CD5132"/>
    <w:rsid w:val="00CD5869"/>
    <w:rsid w:val="00CD7A6F"/>
    <w:rsid w:val="00CE081E"/>
    <w:rsid w:val="00CE2026"/>
    <w:rsid w:val="00CE471F"/>
    <w:rsid w:val="00CE5871"/>
    <w:rsid w:val="00CE66B1"/>
    <w:rsid w:val="00CE7415"/>
    <w:rsid w:val="00CF097A"/>
    <w:rsid w:val="00CF1FDB"/>
    <w:rsid w:val="00CF3816"/>
    <w:rsid w:val="00CF557C"/>
    <w:rsid w:val="00CF6752"/>
    <w:rsid w:val="00CF6E99"/>
    <w:rsid w:val="00CF7099"/>
    <w:rsid w:val="00CF7E60"/>
    <w:rsid w:val="00D021F4"/>
    <w:rsid w:val="00D02A1A"/>
    <w:rsid w:val="00D04791"/>
    <w:rsid w:val="00D06B2C"/>
    <w:rsid w:val="00D07474"/>
    <w:rsid w:val="00D07A27"/>
    <w:rsid w:val="00D103E9"/>
    <w:rsid w:val="00D10D38"/>
    <w:rsid w:val="00D10F68"/>
    <w:rsid w:val="00D11A29"/>
    <w:rsid w:val="00D11AA4"/>
    <w:rsid w:val="00D11B79"/>
    <w:rsid w:val="00D12295"/>
    <w:rsid w:val="00D12592"/>
    <w:rsid w:val="00D13617"/>
    <w:rsid w:val="00D1437C"/>
    <w:rsid w:val="00D1533F"/>
    <w:rsid w:val="00D158EB"/>
    <w:rsid w:val="00D15B78"/>
    <w:rsid w:val="00D15B81"/>
    <w:rsid w:val="00D15DF1"/>
    <w:rsid w:val="00D161A1"/>
    <w:rsid w:val="00D16730"/>
    <w:rsid w:val="00D173BE"/>
    <w:rsid w:val="00D17411"/>
    <w:rsid w:val="00D1750D"/>
    <w:rsid w:val="00D17B4F"/>
    <w:rsid w:val="00D2065E"/>
    <w:rsid w:val="00D21498"/>
    <w:rsid w:val="00D214FB"/>
    <w:rsid w:val="00D21A14"/>
    <w:rsid w:val="00D21DE3"/>
    <w:rsid w:val="00D22433"/>
    <w:rsid w:val="00D22B0C"/>
    <w:rsid w:val="00D230EC"/>
    <w:rsid w:val="00D24714"/>
    <w:rsid w:val="00D24738"/>
    <w:rsid w:val="00D2481E"/>
    <w:rsid w:val="00D24A30"/>
    <w:rsid w:val="00D24A6F"/>
    <w:rsid w:val="00D259EB"/>
    <w:rsid w:val="00D25F34"/>
    <w:rsid w:val="00D26388"/>
    <w:rsid w:val="00D26B0B"/>
    <w:rsid w:val="00D27150"/>
    <w:rsid w:val="00D27B78"/>
    <w:rsid w:val="00D27E5D"/>
    <w:rsid w:val="00D27FA8"/>
    <w:rsid w:val="00D30FB2"/>
    <w:rsid w:val="00D313EC"/>
    <w:rsid w:val="00D3245E"/>
    <w:rsid w:val="00D33219"/>
    <w:rsid w:val="00D336A5"/>
    <w:rsid w:val="00D34E8D"/>
    <w:rsid w:val="00D3515E"/>
    <w:rsid w:val="00D35378"/>
    <w:rsid w:val="00D35ADA"/>
    <w:rsid w:val="00D35EAD"/>
    <w:rsid w:val="00D36E2A"/>
    <w:rsid w:val="00D3730C"/>
    <w:rsid w:val="00D4026F"/>
    <w:rsid w:val="00D40E8C"/>
    <w:rsid w:val="00D41069"/>
    <w:rsid w:val="00D4254C"/>
    <w:rsid w:val="00D4259C"/>
    <w:rsid w:val="00D42C3B"/>
    <w:rsid w:val="00D42EA6"/>
    <w:rsid w:val="00D430FE"/>
    <w:rsid w:val="00D44333"/>
    <w:rsid w:val="00D44F27"/>
    <w:rsid w:val="00D46E30"/>
    <w:rsid w:val="00D50142"/>
    <w:rsid w:val="00D50C60"/>
    <w:rsid w:val="00D50DF8"/>
    <w:rsid w:val="00D5135A"/>
    <w:rsid w:val="00D513FB"/>
    <w:rsid w:val="00D51B74"/>
    <w:rsid w:val="00D51E78"/>
    <w:rsid w:val="00D52528"/>
    <w:rsid w:val="00D5304C"/>
    <w:rsid w:val="00D537AB"/>
    <w:rsid w:val="00D53B99"/>
    <w:rsid w:val="00D54646"/>
    <w:rsid w:val="00D54BD8"/>
    <w:rsid w:val="00D56E24"/>
    <w:rsid w:val="00D57863"/>
    <w:rsid w:val="00D60594"/>
    <w:rsid w:val="00D60A92"/>
    <w:rsid w:val="00D611BB"/>
    <w:rsid w:val="00D61427"/>
    <w:rsid w:val="00D62F71"/>
    <w:rsid w:val="00D634A6"/>
    <w:rsid w:val="00D63707"/>
    <w:rsid w:val="00D6465D"/>
    <w:rsid w:val="00D64735"/>
    <w:rsid w:val="00D64879"/>
    <w:rsid w:val="00D64B69"/>
    <w:rsid w:val="00D656DB"/>
    <w:rsid w:val="00D65AE6"/>
    <w:rsid w:val="00D65CD4"/>
    <w:rsid w:val="00D667FD"/>
    <w:rsid w:val="00D674FA"/>
    <w:rsid w:val="00D7031A"/>
    <w:rsid w:val="00D70AFF"/>
    <w:rsid w:val="00D70EAA"/>
    <w:rsid w:val="00D718D6"/>
    <w:rsid w:val="00D71C5C"/>
    <w:rsid w:val="00D71F47"/>
    <w:rsid w:val="00D72618"/>
    <w:rsid w:val="00D73573"/>
    <w:rsid w:val="00D73AD7"/>
    <w:rsid w:val="00D73DDA"/>
    <w:rsid w:val="00D740E4"/>
    <w:rsid w:val="00D7428D"/>
    <w:rsid w:val="00D74955"/>
    <w:rsid w:val="00D75DB5"/>
    <w:rsid w:val="00D76F26"/>
    <w:rsid w:val="00D770AE"/>
    <w:rsid w:val="00D801C6"/>
    <w:rsid w:val="00D80D71"/>
    <w:rsid w:val="00D81AE5"/>
    <w:rsid w:val="00D81CF2"/>
    <w:rsid w:val="00D8295D"/>
    <w:rsid w:val="00D837D5"/>
    <w:rsid w:val="00D83994"/>
    <w:rsid w:val="00D83F06"/>
    <w:rsid w:val="00D83F56"/>
    <w:rsid w:val="00D8406B"/>
    <w:rsid w:val="00D854C0"/>
    <w:rsid w:val="00D859CA"/>
    <w:rsid w:val="00D85C72"/>
    <w:rsid w:val="00D85FA3"/>
    <w:rsid w:val="00D86011"/>
    <w:rsid w:val="00D86878"/>
    <w:rsid w:val="00D86F1C"/>
    <w:rsid w:val="00D87978"/>
    <w:rsid w:val="00D90668"/>
    <w:rsid w:val="00D90A6B"/>
    <w:rsid w:val="00D911DA"/>
    <w:rsid w:val="00D91394"/>
    <w:rsid w:val="00D9208B"/>
    <w:rsid w:val="00D92343"/>
    <w:rsid w:val="00D92718"/>
    <w:rsid w:val="00D92E85"/>
    <w:rsid w:val="00D93555"/>
    <w:rsid w:val="00D9367C"/>
    <w:rsid w:val="00D944E0"/>
    <w:rsid w:val="00D94F91"/>
    <w:rsid w:val="00D950DB"/>
    <w:rsid w:val="00D95195"/>
    <w:rsid w:val="00D95DE0"/>
    <w:rsid w:val="00D95FAA"/>
    <w:rsid w:val="00D9671A"/>
    <w:rsid w:val="00D973A5"/>
    <w:rsid w:val="00D97C4C"/>
    <w:rsid w:val="00D97E61"/>
    <w:rsid w:val="00DA010C"/>
    <w:rsid w:val="00DA038C"/>
    <w:rsid w:val="00DA0DD9"/>
    <w:rsid w:val="00DA2520"/>
    <w:rsid w:val="00DA2DF5"/>
    <w:rsid w:val="00DA3F38"/>
    <w:rsid w:val="00DA4318"/>
    <w:rsid w:val="00DA4513"/>
    <w:rsid w:val="00DA68CA"/>
    <w:rsid w:val="00DA6C8A"/>
    <w:rsid w:val="00DA702E"/>
    <w:rsid w:val="00DA728B"/>
    <w:rsid w:val="00DA795C"/>
    <w:rsid w:val="00DB037A"/>
    <w:rsid w:val="00DB1544"/>
    <w:rsid w:val="00DB1D33"/>
    <w:rsid w:val="00DB344C"/>
    <w:rsid w:val="00DB3C0B"/>
    <w:rsid w:val="00DB4933"/>
    <w:rsid w:val="00DB500D"/>
    <w:rsid w:val="00DB50A7"/>
    <w:rsid w:val="00DB5A0B"/>
    <w:rsid w:val="00DB6407"/>
    <w:rsid w:val="00DB6B4C"/>
    <w:rsid w:val="00DB7081"/>
    <w:rsid w:val="00DB715D"/>
    <w:rsid w:val="00DB7586"/>
    <w:rsid w:val="00DB78F7"/>
    <w:rsid w:val="00DB7A03"/>
    <w:rsid w:val="00DB7DE1"/>
    <w:rsid w:val="00DC064C"/>
    <w:rsid w:val="00DC06EC"/>
    <w:rsid w:val="00DC0E1B"/>
    <w:rsid w:val="00DC1827"/>
    <w:rsid w:val="00DC20B4"/>
    <w:rsid w:val="00DC2856"/>
    <w:rsid w:val="00DC2A2F"/>
    <w:rsid w:val="00DC4516"/>
    <w:rsid w:val="00DC5D4E"/>
    <w:rsid w:val="00DC73E1"/>
    <w:rsid w:val="00DC73F6"/>
    <w:rsid w:val="00DC74D8"/>
    <w:rsid w:val="00DC7672"/>
    <w:rsid w:val="00DC797C"/>
    <w:rsid w:val="00DC7C0B"/>
    <w:rsid w:val="00DC7CCA"/>
    <w:rsid w:val="00DD085B"/>
    <w:rsid w:val="00DD33E4"/>
    <w:rsid w:val="00DD37CA"/>
    <w:rsid w:val="00DD39FD"/>
    <w:rsid w:val="00DD3C80"/>
    <w:rsid w:val="00DD59FB"/>
    <w:rsid w:val="00DD6466"/>
    <w:rsid w:val="00DE0A82"/>
    <w:rsid w:val="00DE0E28"/>
    <w:rsid w:val="00DE1041"/>
    <w:rsid w:val="00DE12C8"/>
    <w:rsid w:val="00DE15B9"/>
    <w:rsid w:val="00DE2B42"/>
    <w:rsid w:val="00DE2C16"/>
    <w:rsid w:val="00DE32C2"/>
    <w:rsid w:val="00DE4E65"/>
    <w:rsid w:val="00DE5056"/>
    <w:rsid w:val="00DE633F"/>
    <w:rsid w:val="00DE657F"/>
    <w:rsid w:val="00DE6B5C"/>
    <w:rsid w:val="00DE765A"/>
    <w:rsid w:val="00DE7663"/>
    <w:rsid w:val="00DF016D"/>
    <w:rsid w:val="00DF03A5"/>
    <w:rsid w:val="00DF0930"/>
    <w:rsid w:val="00DF0A75"/>
    <w:rsid w:val="00DF0AF7"/>
    <w:rsid w:val="00DF0DE9"/>
    <w:rsid w:val="00DF0F11"/>
    <w:rsid w:val="00DF1537"/>
    <w:rsid w:val="00DF1934"/>
    <w:rsid w:val="00DF1AC6"/>
    <w:rsid w:val="00DF2770"/>
    <w:rsid w:val="00DF4253"/>
    <w:rsid w:val="00DF44B2"/>
    <w:rsid w:val="00DF4FAC"/>
    <w:rsid w:val="00DF51E2"/>
    <w:rsid w:val="00DF54A5"/>
    <w:rsid w:val="00DF6ED1"/>
    <w:rsid w:val="00DF6F56"/>
    <w:rsid w:val="00E0009E"/>
    <w:rsid w:val="00E003E6"/>
    <w:rsid w:val="00E00C95"/>
    <w:rsid w:val="00E01603"/>
    <w:rsid w:val="00E01F69"/>
    <w:rsid w:val="00E0245D"/>
    <w:rsid w:val="00E0269A"/>
    <w:rsid w:val="00E02B8D"/>
    <w:rsid w:val="00E03DA2"/>
    <w:rsid w:val="00E05B03"/>
    <w:rsid w:val="00E0608A"/>
    <w:rsid w:val="00E066E5"/>
    <w:rsid w:val="00E068B5"/>
    <w:rsid w:val="00E06A27"/>
    <w:rsid w:val="00E06B6E"/>
    <w:rsid w:val="00E07702"/>
    <w:rsid w:val="00E078DC"/>
    <w:rsid w:val="00E101B3"/>
    <w:rsid w:val="00E10A7C"/>
    <w:rsid w:val="00E10F38"/>
    <w:rsid w:val="00E1130E"/>
    <w:rsid w:val="00E14504"/>
    <w:rsid w:val="00E14954"/>
    <w:rsid w:val="00E1607A"/>
    <w:rsid w:val="00E1744B"/>
    <w:rsid w:val="00E20493"/>
    <w:rsid w:val="00E20B6E"/>
    <w:rsid w:val="00E21118"/>
    <w:rsid w:val="00E21FF9"/>
    <w:rsid w:val="00E253DE"/>
    <w:rsid w:val="00E2560D"/>
    <w:rsid w:val="00E26833"/>
    <w:rsid w:val="00E275E4"/>
    <w:rsid w:val="00E279C3"/>
    <w:rsid w:val="00E27B54"/>
    <w:rsid w:val="00E27C91"/>
    <w:rsid w:val="00E302DA"/>
    <w:rsid w:val="00E304B1"/>
    <w:rsid w:val="00E319D0"/>
    <w:rsid w:val="00E32101"/>
    <w:rsid w:val="00E3380F"/>
    <w:rsid w:val="00E34362"/>
    <w:rsid w:val="00E3558F"/>
    <w:rsid w:val="00E356FD"/>
    <w:rsid w:val="00E362EC"/>
    <w:rsid w:val="00E36C9C"/>
    <w:rsid w:val="00E36ED4"/>
    <w:rsid w:val="00E37539"/>
    <w:rsid w:val="00E40F38"/>
    <w:rsid w:val="00E41305"/>
    <w:rsid w:val="00E41559"/>
    <w:rsid w:val="00E4201E"/>
    <w:rsid w:val="00E42991"/>
    <w:rsid w:val="00E433DC"/>
    <w:rsid w:val="00E43CFC"/>
    <w:rsid w:val="00E44DAB"/>
    <w:rsid w:val="00E44F20"/>
    <w:rsid w:val="00E45126"/>
    <w:rsid w:val="00E45227"/>
    <w:rsid w:val="00E4584A"/>
    <w:rsid w:val="00E46A2C"/>
    <w:rsid w:val="00E50206"/>
    <w:rsid w:val="00E50C80"/>
    <w:rsid w:val="00E50F7F"/>
    <w:rsid w:val="00E52591"/>
    <w:rsid w:val="00E5426D"/>
    <w:rsid w:val="00E54559"/>
    <w:rsid w:val="00E54969"/>
    <w:rsid w:val="00E54AD9"/>
    <w:rsid w:val="00E557F6"/>
    <w:rsid w:val="00E5605A"/>
    <w:rsid w:val="00E568F4"/>
    <w:rsid w:val="00E579A8"/>
    <w:rsid w:val="00E57A31"/>
    <w:rsid w:val="00E60A66"/>
    <w:rsid w:val="00E60BFD"/>
    <w:rsid w:val="00E60D98"/>
    <w:rsid w:val="00E6225C"/>
    <w:rsid w:val="00E62283"/>
    <w:rsid w:val="00E627C4"/>
    <w:rsid w:val="00E62D67"/>
    <w:rsid w:val="00E633D8"/>
    <w:rsid w:val="00E6370D"/>
    <w:rsid w:val="00E64A0C"/>
    <w:rsid w:val="00E6515F"/>
    <w:rsid w:val="00E6517E"/>
    <w:rsid w:val="00E65403"/>
    <w:rsid w:val="00E65721"/>
    <w:rsid w:val="00E66073"/>
    <w:rsid w:val="00E6771D"/>
    <w:rsid w:val="00E7133D"/>
    <w:rsid w:val="00E7268E"/>
    <w:rsid w:val="00E72D5D"/>
    <w:rsid w:val="00E745ED"/>
    <w:rsid w:val="00E753B6"/>
    <w:rsid w:val="00E75478"/>
    <w:rsid w:val="00E7719A"/>
    <w:rsid w:val="00E7741D"/>
    <w:rsid w:val="00E800C9"/>
    <w:rsid w:val="00E80AA9"/>
    <w:rsid w:val="00E80AD3"/>
    <w:rsid w:val="00E81C14"/>
    <w:rsid w:val="00E82955"/>
    <w:rsid w:val="00E82A7A"/>
    <w:rsid w:val="00E8571F"/>
    <w:rsid w:val="00E85B6B"/>
    <w:rsid w:val="00E87081"/>
    <w:rsid w:val="00E870F0"/>
    <w:rsid w:val="00E90AB4"/>
    <w:rsid w:val="00E90F64"/>
    <w:rsid w:val="00E917E1"/>
    <w:rsid w:val="00E91A23"/>
    <w:rsid w:val="00E92A82"/>
    <w:rsid w:val="00E92D3E"/>
    <w:rsid w:val="00E930BA"/>
    <w:rsid w:val="00E94F1B"/>
    <w:rsid w:val="00E953CD"/>
    <w:rsid w:val="00E96DC5"/>
    <w:rsid w:val="00E96E52"/>
    <w:rsid w:val="00E97282"/>
    <w:rsid w:val="00E9758F"/>
    <w:rsid w:val="00E97B1E"/>
    <w:rsid w:val="00EA005A"/>
    <w:rsid w:val="00EA0ECA"/>
    <w:rsid w:val="00EA0EE7"/>
    <w:rsid w:val="00EA19A9"/>
    <w:rsid w:val="00EA2A2B"/>
    <w:rsid w:val="00EA400B"/>
    <w:rsid w:val="00EA5269"/>
    <w:rsid w:val="00EA5631"/>
    <w:rsid w:val="00EA5D5D"/>
    <w:rsid w:val="00EA5F3E"/>
    <w:rsid w:val="00EA6114"/>
    <w:rsid w:val="00EA6786"/>
    <w:rsid w:val="00EA72CE"/>
    <w:rsid w:val="00EA7F9A"/>
    <w:rsid w:val="00EB0282"/>
    <w:rsid w:val="00EB0496"/>
    <w:rsid w:val="00EB05A2"/>
    <w:rsid w:val="00EB1F30"/>
    <w:rsid w:val="00EB2B76"/>
    <w:rsid w:val="00EB3082"/>
    <w:rsid w:val="00EB3AF3"/>
    <w:rsid w:val="00EB40F6"/>
    <w:rsid w:val="00EB4C6F"/>
    <w:rsid w:val="00EB4DA9"/>
    <w:rsid w:val="00EB4ED7"/>
    <w:rsid w:val="00EB6722"/>
    <w:rsid w:val="00EB74AC"/>
    <w:rsid w:val="00EB751B"/>
    <w:rsid w:val="00EC0A63"/>
    <w:rsid w:val="00EC0EAD"/>
    <w:rsid w:val="00EC14CB"/>
    <w:rsid w:val="00EC229B"/>
    <w:rsid w:val="00EC28BF"/>
    <w:rsid w:val="00EC2A1F"/>
    <w:rsid w:val="00EC2E71"/>
    <w:rsid w:val="00EC6F9F"/>
    <w:rsid w:val="00EC71A2"/>
    <w:rsid w:val="00ED0732"/>
    <w:rsid w:val="00ED083E"/>
    <w:rsid w:val="00ED15B6"/>
    <w:rsid w:val="00ED1685"/>
    <w:rsid w:val="00ED19BA"/>
    <w:rsid w:val="00ED29C0"/>
    <w:rsid w:val="00ED3699"/>
    <w:rsid w:val="00ED3FB3"/>
    <w:rsid w:val="00ED4556"/>
    <w:rsid w:val="00ED5837"/>
    <w:rsid w:val="00ED5C69"/>
    <w:rsid w:val="00ED7159"/>
    <w:rsid w:val="00ED7B8B"/>
    <w:rsid w:val="00EE1280"/>
    <w:rsid w:val="00EE14DA"/>
    <w:rsid w:val="00EE1ACF"/>
    <w:rsid w:val="00EE40DD"/>
    <w:rsid w:val="00EE4CEB"/>
    <w:rsid w:val="00EE5466"/>
    <w:rsid w:val="00EE6B28"/>
    <w:rsid w:val="00EE7698"/>
    <w:rsid w:val="00EE7D00"/>
    <w:rsid w:val="00EF0701"/>
    <w:rsid w:val="00EF0CA7"/>
    <w:rsid w:val="00EF142F"/>
    <w:rsid w:val="00EF14EF"/>
    <w:rsid w:val="00EF3101"/>
    <w:rsid w:val="00EF317C"/>
    <w:rsid w:val="00EF4B99"/>
    <w:rsid w:val="00EF4C07"/>
    <w:rsid w:val="00EF4ED0"/>
    <w:rsid w:val="00EF5C67"/>
    <w:rsid w:val="00EF6235"/>
    <w:rsid w:val="00EF6283"/>
    <w:rsid w:val="00EF6F79"/>
    <w:rsid w:val="00EF70CD"/>
    <w:rsid w:val="00EF794B"/>
    <w:rsid w:val="00EF7DB5"/>
    <w:rsid w:val="00F00158"/>
    <w:rsid w:val="00F008B9"/>
    <w:rsid w:val="00F00ED4"/>
    <w:rsid w:val="00F0137D"/>
    <w:rsid w:val="00F03504"/>
    <w:rsid w:val="00F03582"/>
    <w:rsid w:val="00F0366A"/>
    <w:rsid w:val="00F03BD0"/>
    <w:rsid w:val="00F04552"/>
    <w:rsid w:val="00F04861"/>
    <w:rsid w:val="00F04EA4"/>
    <w:rsid w:val="00F051A6"/>
    <w:rsid w:val="00F05A88"/>
    <w:rsid w:val="00F0647F"/>
    <w:rsid w:val="00F06EF2"/>
    <w:rsid w:val="00F06F07"/>
    <w:rsid w:val="00F07DC9"/>
    <w:rsid w:val="00F10D2A"/>
    <w:rsid w:val="00F116EC"/>
    <w:rsid w:val="00F11C32"/>
    <w:rsid w:val="00F1286B"/>
    <w:rsid w:val="00F12E8B"/>
    <w:rsid w:val="00F13AEC"/>
    <w:rsid w:val="00F14C1B"/>
    <w:rsid w:val="00F15288"/>
    <w:rsid w:val="00F15993"/>
    <w:rsid w:val="00F159BA"/>
    <w:rsid w:val="00F1637D"/>
    <w:rsid w:val="00F16A9A"/>
    <w:rsid w:val="00F16DA4"/>
    <w:rsid w:val="00F16E12"/>
    <w:rsid w:val="00F17395"/>
    <w:rsid w:val="00F17CC0"/>
    <w:rsid w:val="00F17EEB"/>
    <w:rsid w:val="00F2143B"/>
    <w:rsid w:val="00F21CEF"/>
    <w:rsid w:val="00F2203C"/>
    <w:rsid w:val="00F22E11"/>
    <w:rsid w:val="00F23378"/>
    <w:rsid w:val="00F24C3A"/>
    <w:rsid w:val="00F24F98"/>
    <w:rsid w:val="00F25713"/>
    <w:rsid w:val="00F25C17"/>
    <w:rsid w:val="00F27299"/>
    <w:rsid w:val="00F279B9"/>
    <w:rsid w:val="00F30711"/>
    <w:rsid w:val="00F31CB8"/>
    <w:rsid w:val="00F32712"/>
    <w:rsid w:val="00F33D9D"/>
    <w:rsid w:val="00F33DCE"/>
    <w:rsid w:val="00F351C3"/>
    <w:rsid w:val="00F35950"/>
    <w:rsid w:val="00F364B0"/>
    <w:rsid w:val="00F377F3"/>
    <w:rsid w:val="00F379E1"/>
    <w:rsid w:val="00F4003D"/>
    <w:rsid w:val="00F4065E"/>
    <w:rsid w:val="00F40CFF"/>
    <w:rsid w:val="00F418EE"/>
    <w:rsid w:val="00F41CC1"/>
    <w:rsid w:val="00F41D1D"/>
    <w:rsid w:val="00F420B8"/>
    <w:rsid w:val="00F42646"/>
    <w:rsid w:val="00F42830"/>
    <w:rsid w:val="00F42C41"/>
    <w:rsid w:val="00F44637"/>
    <w:rsid w:val="00F4480A"/>
    <w:rsid w:val="00F449DC"/>
    <w:rsid w:val="00F454B0"/>
    <w:rsid w:val="00F45713"/>
    <w:rsid w:val="00F45CB2"/>
    <w:rsid w:val="00F461A1"/>
    <w:rsid w:val="00F463ED"/>
    <w:rsid w:val="00F46420"/>
    <w:rsid w:val="00F46726"/>
    <w:rsid w:val="00F46FD7"/>
    <w:rsid w:val="00F51963"/>
    <w:rsid w:val="00F520F4"/>
    <w:rsid w:val="00F53F76"/>
    <w:rsid w:val="00F54843"/>
    <w:rsid w:val="00F54BCA"/>
    <w:rsid w:val="00F561E8"/>
    <w:rsid w:val="00F565D2"/>
    <w:rsid w:val="00F569AD"/>
    <w:rsid w:val="00F56C1F"/>
    <w:rsid w:val="00F57D64"/>
    <w:rsid w:val="00F60D76"/>
    <w:rsid w:val="00F613A7"/>
    <w:rsid w:val="00F63E61"/>
    <w:rsid w:val="00F64264"/>
    <w:rsid w:val="00F6625D"/>
    <w:rsid w:val="00F66FB2"/>
    <w:rsid w:val="00F71B86"/>
    <w:rsid w:val="00F71C68"/>
    <w:rsid w:val="00F73FBF"/>
    <w:rsid w:val="00F7552F"/>
    <w:rsid w:val="00F7585A"/>
    <w:rsid w:val="00F75EC5"/>
    <w:rsid w:val="00F760C1"/>
    <w:rsid w:val="00F76856"/>
    <w:rsid w:val="00F76F95"/>
    <w:rsid w:val="00F77D0F"/>
    <w:rsid w:val="00F8149A"/>
    <w:rsid w:val="00F83744"/>
    <w:rsid w:val="00F85716"/>
    <w:rsid w:val="00F857B7"/>
    <w:rsid w:val="00F86966"/>
    <w:rsid w:val="00F8778D"/>
    <w:rsid w:val="00F87CFC"/>
    <w:rsid w:val="00F87D7A"/>
    <w:rsid w:val="00F90096"/>
    <w:rsid w:val="00F90120"/>
    <w:rsid w:val="00F903C2"/>
    <w:rsid w:val="00F90AF6"/>
    <w:rsid w:val="00F91AB7"/>
    <w:rsid w:val="00F91FE1"/>
    <w:rsid w:val="00F92BB2"/>
    <w:rsid w:val="00F9343A"/>
    <w:rsid w:val="00F94530"/>
    <w:rsid w:val="00F955BD"/>
    <w:rsid w:val="00F95670"/>
    <w:rsid w:val="00F9591E"/>
    <w:rsid w:val="00F96B97"/>
    <w:rsid w:val="00F97058"/>
    <w:rsid w:val="00F972C9"/>
    <w:rsid w:val="00F97BDF"/>
    <w:rsid w:val="00F97CE0"/>
    <w:rsid w:val="00F97DA9"/>
    <w:rsid w:val="00FA14A0"/>
    <w:rsid w:val="00FA3837"/>
    <w:rsid w:val="00FA3894"/>
    <w:rsid w:val="00FA3E5B"/>
    <w:rsid w:val="00FA4091"/>
    <w:rsid w:val="00FA40EB"/>
    <w:rsid w:val="00FA4AFD"/>
    <w:rsid w:val="00FA5468"/>
    <w:rsid w:val="00FA5CA2"/>
    <w:rsid w:val="00FA7C06"/>
    <w:rsid w:val="00FB02CF"/>
    <w:rsid w:val="00FB1601"/>
    <w:rsid w:val="00FB3966"/>
    <w:rsid w:val="00FB39AD"/>
    <w:rsid w:val="00FB474E"/>
    <w:rsid w:val="00FB5618"/>
    <w:rsid w:val="00FB5CF7"/>
    <w:rsid w:val="00FB6FD5"/>
    <w:rsid w:val="00FB74FC"/>
    <w:rsid w:val="00FC0416"/>
    <w:rsid w:val="00FC0AF1"/>
    <w:rsid w:val="00FC222C"/>
    <w:rsid w:val="00FC242B"/>
    <w:rsid w:val="00FC27B3"/>
    <w:rsid w:val="00FC366F"/>
    <w:rsid w:val="00FC36D8"/>
    <w:rsid w:val="00FC3BCA"/>
    <w:rsid w:val="00FC3FC1"/>
    <w:rsid w:val="00FD094B"/>
    <w:rsid w:val="00FD1DB3"/>
    <w:rsid w:val="00FD205E"/>
    <w:rsid w:val="00FD2C52"/>
    <w:rsid w:val="00FD3D4E"/>
    <w:rsid w:val="00FD4171"/>
    <w:rsid w:val="00FD5A8C"/>
    <w:rsid w:val="00FD5B27"/>
    <w:rsid w:val="00FD5B86"/>
    <w:rsid w:val="00FD5C76"/>
    <w:rsid w:val="00FD611A"/>
    <w:rsid w:val="00FD624D"/>
    <w:rsid w:val="00FD6375"/>
    <w:rsid w:val="00FD7C45"/>
    <w:rsid w:val="00FE0322"/>
    <w:rsid w:val="00FE0334"/>
    <w:rsid w:val="00FE0DFF"/>
    <w:rsid w:val="00FE15EE"/>
    <w:rsid w:val="00FE3333"/>
    <w:rsid w:val="00FE401E"/>
    <w:rsid w:val="00FE42F7"/>
    <w:rsid w:val="00FE4CD3"/>
    <w:rsid w:val="00FE5998"/>
    <w:rsid w:val="00FE6BDA"/>
    <w:rsid w:val="00FE7842"/>
    <w:rsid w:val="00FE7930"/>
    <w:rsid w:val="00FF1CD7"/>
    <w:rsid w:val="00FF3E43"/>
    <w:rsid w:val="00FF3EFB"/>
    <w:rsid w:val="00FF4300"/>
    <w:rsid w:val="00FF71E2"/>
    <w:rsid w:val="022E3E64"/>
    <w:rsid w:val="02480B28"/>
    <w:rsid w:val="03A85626"/>
    <w:rsid w:val="042913CB"/>
    <w:rsid w:val="04333331"/>
    <w:rsid w:val="04D8519F"/>
    <w:rsid w:val="05883304"/>
    <w:rsid w:val="06015E3C"/>
    <w:rsid w:val="06781F50"/>
    <w:rsid w:val="080D374D"/>
    <w:rsid w:val="08CC2F3F"/>
    <w:rsid w:val="0A354951"/>
    <w:rsid w:val="0B22132F"/>
    <w:rsid w:val="0B232D99"/>
    <w:rsid w:val="0C992712"/>
    <w:rsid w:val="0CA74979"/>
    <w:rsid w:val="0F05382E"/>
    <w:rsid w:val="0FA957AB"/>
    <w:rsid w:val="10672450"/>
    <w:rsid w:val="10932F48"/>
    <w:rsid w:val="10A13437"/>
    <w:rsid w:val="11717C09"/>
    <w:rsid w:val="12266F4A"/>
    <w:rsid w:val="15533E94"/>
    <w:rsid w:val="158F22E4"/>
    <w:rsid w:val="15AD5573"/>
    <w:rsid w:val="15CD2B5D"/>
    <w:rsid w:val="164D3A48"/>
    <w:rsid w:val="1656598B"/>
    <w:rsid w:val="16DB1794"/>
    <w:rsid w:val="17D56400"/>
    <w:rsid w:val="180611C7"/>
    <w:rsid w:val="183323C1"/>
    <w:rsid w:val="18413735"/>
    <w:rsid w:val="18C94AD3"/>
    <w:rsid w:val="192047A6"/>
    <w:rsid w:val="19557C61"/>
    <w:rsid w:val="1B021A8E"/>
    <w:rsid w:val="1DB2517C"/>
    <w:rsid w:val="1DB74835"/>
    <w:rsid w:val="1E864856"/>
    <w:rsid w:val="1FD92D05"/>
    <w:rsid w:val="23652B2E"/>
    <w:rsid w:val="23D20B9D"/>
    <w:rsid w:val="242F7E7F"/>
    <w:rsid w:val="248A5117"/>
    <w:rsid w:val="249B443C"/>
    <w:rsid w:val="25EE5357"/>
    <w:rsid w:val="268E7DD2"/>
    <w:rsid w:val="26966EEA"/>
    <w:rsid w:val="26F35B7C"/>
    <w:rsid w:val="271D6109"/>
    <w:rsid w:val="27B55B32"/>
    <w:rsid w:val="28356667"/>
    <w:rsid w:val="29AB7711"/>
    <w:rsid w:val="2A196E66"/>
    <w:rsid w:val="2BB75BF0"/>
    <w:rsid w:val="2CCE02BF"/>
    <w:rsid w:val="2DE935BD"/>
    <w:rsid w:val="2F3F1C45"/>
    <w:rsid w:val="30515768"/>
    <w:rsid w:val="31B92CD5"/>
    <w:rsid w:val="32DD07DC"/>
    <w:rsid w:val="33786E4A"/>
    <w:rsid w:val="36372167"/>
    <w:rsid w:val="36D76BAD"/>
    <w:rsid w:val="37403D5B"/>
    <w:rsid w:val="383F5E28"/>
    <w:rsid w:val="38D17462"/>
    <w:rsid w:val="38F16E46"/>
    <w:rsid w:val="39DB62E0"/>
    <w:rsid w:val="3A201773"/>
    <w:rsid w:val="3A2D50A9"/>
    <w:rsid w:val="3A632C4D"/>
    <w:rsid w:val="3A8E422C"/>
    <w:rsid w:val="3E704978"/>
    <w:rsid w:val="3E8B6203"/>
    <w:rsid w:val="3F507266"/>
    <w:rsid w:val="40277ED8"/>
    <w:rsid w:val="4030087A"/>
    <w:rsid w:val="40631286"/>
    <w:rsid w:val="4148144B"/>
    <w:rsid w:val="42704934"/>
    <w:rsid w:val="43E812E5"/>
    <w:rsid w:val="44354FAF"/>
    <w:rsid w:val="451E5F37"/>
    <w:rsid w:val="463F4408"/>
    <w:rsid w:val="465B749F"/>
    <w:rsid w:val="47C14CDB"/>
    <w:rsid w:val="47F334EB"/>
    <w:rsid w:val="48094C4D"/>
    <w:rsid w:val="48992313"/>
    <w:rsid w:val="490B389B"/>
    <w:rsid w:val="498A3DCD"/>
    <w:rsid w:val="4A090C0B"/>
    <w:rsid w:val="4A4F6EE1"/>
    <w:rsid w:val="4A7A3BA7"/>
    <w:rsid w:val="4AFC23E1"/>
    <w:rsid w:val="4C8B24FC"/>
    <w:rsid w:val="4CF546E4"/>
    <w:rsid w:val="4D0D02A9"/>
    <w:rsid w:val="4DB406ED"/>
    <w:rsid w:val="501167D0"/>
    <w:rsid w:val="50C36B34"/>
    <w:rsid w:val="50C7588A"/>
    <w:rsid w:val="50F10148"/>
    <w:rsid w:val="511945E2"/>
    <w:rsid w:val="545A23CA"/>
    <w:rsid w:val="555A1CAC"/>
    <w:rsid w:val="57314362"/>
    <w:rsid w:val="59E05AB8"/>
    <w:rsid w:val="5A386DE8"/>
    <w:rsid w:val="5AE33ED1"/>
    <w:rsid w:val="5B182AAF"/>
    <w:rsid w:val="5C1565C5"/>
    <w:rsid w:val="5C6A5252"/>
    <w:rsid w:val="5CF275DE"/>
    <w:rsid w:val="5DE358AA"/>
    <w:rsid w:val="5E657002"/>
    <w:rsid w:val="5E8A206A"/>
    <w:rsid w:val="5EF576FB"/>
    <w:rsid w:val="5F370931"/>
    <w:rsid w:val="5F6E3821"/>
    <w:rsid w:val="5F6E6E08"/>
    <w:rsid w:val="60661094"/>
    <w:rsid w:val="608D5F36"/>
    <w:rsid w:val="621660B6"/>
    <w:rsid w:val="63D75968"/>
    <w:rsid w:val="63F91396"/>
    <w:rsid w:val="644F7208"/>
    <w:rsid w:val="645C155E"/>
    <w:rsid w:val="655614A6"/>
    <w:rsid w:val="6558419C"/>
    <w:rsid w:val="65F01E0C"/>
    <w:rsid w:val="66630D48"/>
    <w:rsid w:val="66CD6E9B"/>
    <w:rsid w:val="679E2BBF"/>
    <w:rsid w:val="69774840"/>
    <w:rsid w:val="6A1F767C"/>
    <w:rsid w:val="6A5A42E0"/>
    <w:rsid w:val="6AFB5FCE"/>
    <w:rsid w:val="6C372E0B"/>
    <w:rsid w:val="6CC515B7"/>
    <w:rsid w:val="6D152AB2"/>
    <w:rsid w:val="6D645394"/>
    <w:rsid w:val="6D7C6B93"/>
    <w:rsid w:val="70960D72"/>
    <w:rsid w:val="710C74BB"/>
    <w:rsid w:val="7115664D"/>
    <w:rsid w:val="712C4213"/>
    <w:rsid w:val="722032EE"/>
    <w:rsid w:val="73047253"/>
    <w:rsid w:val="73C47296"/>
    <w:rsid w:val="73DA5D38"/>
    <w:rsid w:val="73E06F28"/>
    <w:rsid w:val="747C08A8"/>
    <w:rsid w:val="74D11C63"/>
    <w:rsid w:val="74DD43BC"/>
    <w:rsid w:val="75253320"/>
    <w:rsid w:val="75664EBB"/>
    <w:rsid w:val="763D1604"/>
    <w:rsid w:val="771811C5"/>
    <w:rsid w:val="776B4E75"/>
    <w:rsid w:val="79CD12FF"/>
    <w:rsid w:val="7A6B0B30"/>
    <w:rsid w:val="7AE14483"/>
    <w:rsid w:val="7AE21C17"/>
    <w:rsid w:val="7BA37F9D"/>
    <w:rsid w:val="7C03284C"/>
    <w:rsid w:val="7C333C9A"/>
    <w:rsid w:val="7CB9570E"/>
    <w:rsid w:val="7D234277"/>
    <w:rsid w:val="7D3953EE"/>
    <w:rsid w:val="7F891128"/>
    <w:rsid w:val="7FDE2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1"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imes New Roman"/>
      <w:kern w:val="2"/>
      <w:sz w:val="24"/>
      <w:szCs w:val="22"/>
      <w:lang w:val="en-US" w:eastAsia="zh-CN" w:bidi="ar-SA"/>
    </w:rPr>
  </w:style>
  <w:style w:type="paragraph" w:styleId="3">
    <w:name w:val="heading 1"/>
    <w:basedOn w:val="1"/>
    <w:next w:val="1"/>
    <w:link w:val="34"/>
    <w:autoRedefine/>
    <w:qFormat/>
    <w:uiPriority w:val="1"/>
    <w:pPr>
      <w:keepNext/>
      <w:keepLines/>
      <w:ind w:firstLine="0" w:firstLineChars="0"/>
      <w:jc w:val="center"/>
      <w:outlineLvl w:val="0"/>
    </w:pPr>
    <w:rPr>
      <w:rFonts w:eastAsia="仿宋_GB2312"/>
      <w:b/>
      <w:bCs/>
      <w:kern w:val="44"/>
      <w:sz w:val="32"/>
      <w:szCs w:val="21"/>
    </w:rPr>
  </w:style>
  <w:style w:type="paragraph" w:styleId="4">
    <w:name w:val="heading 2"/>
    <w:basedOn w:val="1"/>
    <w:next w:val="1"/>
    <w:link w:val="35"/>
    <w:unhideWhenUsed/>
    <w:qFormat/>
    <w:uiPriority w:val="1"/>
    <w:pPr>
      <w:keepNext/>
      <w:keepLines/>
      <w:spacing w:before="120" w:after="120"/>
      <w:ind w:firstLine="0" w:firstLineChars="0"/>
      <w:outlineLvl w:val="1"/>
    </w:pPr>
    <w:rPr>
      <w:rFonts w:ascii="Cambria" w:hAnsi="Cambria"/>
      <w:b/>
      <w:bCs/>
      <w:kern w:val="0"/>
      <w:sz w:val="30"/>
      <w:szCs w:val="32"/>
    </w:rPr>
  </w:style>
  <w:style w:type="paragraph" w:styleId="5">
    <w:name w:val="heading 3"/>
    <w:basedOn w:val="1"/>
    <w:next w:val="1"/>
    <w:link w:val="38"/>
    <w:unhideWhenUsed/>
    <w:qFormat/>
    <w:uiPriority w:val="1"/>
    <w:pPr>
      <w:keepNext/>
      <w:keepLines/>
      <w:spacing w:before="120" w:after="120"/>
      <w:ind w:firstLine="0" w:firstLineChars="0"/>
      <w:outlineLvl w:val="2"/>
    </w:pPr>
    <w:rPr>
      <w:b/>
      <w:bCs/>
      <w:kern w:val="0"/>
      <w:sz w:val="28"/>
      <w:szCs w:val="32"/>
    </w:rPr>
  </w:style>
  <w:style w:type="paragraph" w:styleId="6">
    <w:name w:val="heading 4"/>
    <w:basedOn w:val="1"/>
    <w:next w:val="1"/>
    <w:link w:val="43"/>
    <w:unhideWhenUsed/>
    <w:qFormat/>
    <w:uiPriority w:val="9"/>
    <w:pPr>
      <w:keepNext/>
      <w:keepLines/>
      <w:spacing w:before="120" w:after="120"/>
      <w:ind w:firstLine="0" w:firstLineChars="0"/>
      <w:outlineLvl w:val="3"/>
    </w:pPr>
    <w:rPr>
      <w:rFonts w:ascii="Cambria" w:hAnsi="Cambria"/>
      <w:b/>
      <w:bCs/>
      <w:szCs w:val="28"/>
    </w:rPr>
  </w:style>
  <w:style w:type="paragraph" w:styleId="7">
    <w:name w:val="heading 5"/>
    <w:basedOn w:val="1"/>
    <w:next w:val="1"/>
    <w:semiHidden/>
    <w:unhideWhenUsed/>
    <w:qFormat/>
    <w:uiPriority w:val="9"/>
    <w:pPr>
      <w:keepNext/>
      <w:keepLines/>
      <w:spacing w:before="280" w:after="290" w:line="372" w:lineRule="auto"/>
      <w:outlineLvl w:val="4"/>
    </w:pPr>
    <w:rPr>
      <w:b/>
      <w:sz w:val="28"/>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header"/>
    <w:basedOn w:val="1"/>
    <w:next w:val="1"/>
    <w:link w:val="2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Document Map"/>
    <w:basedOn w:val="1"/>
    <w:link w:val="30"/>
    <w:semiHidden/>
    <w:unhideWhenUsed/>
    <w:qFormat/>
    <w:uiPriority w:val="99"/>
    <w:rPr>
      <w:rFonts w:ascii="宋体"/>
      <w:kern w:val="0"/>
      <w:sz w:val="18"/>
      <w:szCs w:val="18"/>
    </w:rPr>
  </w:style>
  <w:style w:type="paragraph" w:styleId="9">
    <w:name w:val="annotation text"/>
    <w:basedOn w:val="1"/>
    <w:link w:val="48"/>
    <w:semiHidden/>
    <w:unhideWhenUsed/>
    <w:qFormat/>
    <w:uiPriority w:val="99"/>
    <w:pPr>
      <w:jc w:val="left"/>
    </w:pPr>
  </w:style>
  <w:style w:type="paragraph" w:styleId="10">
    <w:name w:val="Body Text"/>
    <w:basedOn w:val="1"/>
    <w:link w:val="51"/>
    <w:qFormat/>
    <w:uiPriority w:val="1"/>
    <w:pPr>
      <w:ind w:firstLine="0" w:firstLineChars="0"/>
      <w:jc w:val="left"/>
      <w:outlineLvl w:val="3"/>
    </w:pPr>
    <w:rPr>
      <w:rFonts w:ascii="微软雅黑" w:hAnsi="微软雅黑" w:eastAsia="宋体"/>
      <w:kern w:val="0"/>
      <w:szCs w:val="21"/>
      <w:lang w:eastAsia="en-US"/>
    </w:rPr>
  </w:style>
  <w:style w:type="paragraph" w:styleId="11">
    <w:name w:val="toc 3"/>
    <w:basedOn w:val="1"/>
    <w:next w:val="1"/>
    <w:unhideWhenUsed/>
    <w:qFormat/>
    <w:uiPriority w:val="39"/>
    <w:pPr>
      <w:ind w:left="840" w:leftChars="400"/>
    </w:pPr>
  </w:style>
  <w:style w:type="paragraph" w:styleId="12">
    <w:name w:val="Date"/>
    <w:basedOn w:val="1"/>
    <w:next w:val="1"/>
    <w:link w:val="31"/>
    <w:autoRedefine/>
    <w:semiHidden/>
    <w:unhideWhenUsed/>
    <w:qFormat/>
    <w:uiPriority w:val="99"/>
    <w:pPr>
      <w:ind w:left="100" w:leftChars="2500"/>
    </w:pPr>
  </w:style>
  <w:style w:type="paragraph" w:styleId="13">
    <w:name w:val="Balloon Text"/>
    <w:basedOn w:val="1"/>
    <w:link w:val="33"/>
    <w:semiHidden/>
    <w:unhideWhenUsed/>
    <w:qFormat/>
    <w:uiPriority w:val="99"/>
    <w:rPr>
      <w:kern w:val="0"/>
      <w:sz w:val="18"/>
      <w:szCs w:val="18"/>
    </w:rPr>
  </w:style>
  <w:style w:type="paragraph" w:styleId="14">
    <w:name w:val="footer"/>
    <w:basedOn w:val="1"/>
    <w:link w:val="29"/>
    <w:unhideWhenUsed/>
    <w:qFormat/>
    <w:uiPriority w:val="99"/>
    <w:pPr>
      <w:tabs>
        <w:tab w:val="center" w:pos="4153"/>
        <w:tab w:val="right" w:pos="8306"/>
      </w:tabs>
      <w:snapToGrid w:val="0"/>
      <w:jc w:val="left"/>
    </w:pPr>
    <w:rPr>
      <w:kern w:val="0"/>
      <w:sz w:val="18"/>
      <w:szCs w:val="18"/>
    </w:rPr>
  </w:style>
  <w:style w:type="paragraph" w:styleId="15">
    <w:name w:val="toc 1"/>
    <w:basedOn w:val="1"/>
    <w:next w:val="1"/>
    <w:unhideWhenUsed/>
    <w:qFormat/>
    <w:uiPriority w:val="39"/>
    <w:pPr>
      <w:tabs>
        <w:tab w:val="right" w:leader="dot" w:pos="8737"/>
      </w:tabs>
      <w:ind w:firstLine="0" w:firstLineChars="0"/>
    </w:pPr>
  </w:style>
  <w:style w:type="paragraph" w:styleId="16">
    <w:name w:val="toc 2"/>
    <w:basedOn w:val="1"/>
    <w:next w:val="1"/>
    <w:unhideWhenUsed/>
    <w:qFormat/>
    <w:uiPriority w:val="39"/>
    <w:pPr>
      <w:tabs>
        <w:tab w:val="right" w:leader="dot" w:pos="8737"/>
      </w:tabs>
      <w:ind w:firstLine="480"/>
    </w:pPr>
  </w:style>
  <w:style w:type="paragraph" w:styleId="17">
    <w:name w:val="HTML Preformatted"/>
    <w:basedOn w:val="1"/>
    <w:link w:val="4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Cs w:val="24"/>
    </w:rPr>
  </w:style>
  <w:style w:type="paragraph" w:styleId="18">
    <w:name w:val="Normal (Web)"/>
    <w:basedOn w:val="1"/>
    <w:semiHidden/>
    <w:unhideWhenUsed/>
    <w:qFormat/>
    <w:uiPriority w:val="99"/>
    <w:pPr>
      <w:widowControl/>
      <w:spacing w:before="100" w:beforeAutospacing="1" w:after="100" w:afterAutospacing="1"/>
      <w:jc w:val="left"/>
    </w:pPr>
    <w:rPr>
      <w:rFonts w:ascii="宋体" w:hAnsi="宋体" w:cs="宋体"/>
      <w:kern w:val="0"/>
      <w:szCs w:val="24"/>
    </w:rPr>
  </w:style>
  <w:style w:type="paragraph" w:styleId="19">
    <w:name w:val="annotation subject"/>
    <w:basedOn w:val="9"/>
    <w:next w:val="9"/>
    <w:link w:val="49"/>
    <w:semiHidden/>
    <w:unhideWhenUsed/>
    <w:qFormat/>
    <w:uiPriority w:val="99"/>
    <w:rPr>
      <w:b/>
      <w:bCs/>
    </w:rPr>
  </w:style>
  <w:style w:type="table" w:styleId="21">
    <w:name w:val="Table Grid"/>
    <w:basedOn w:val="20"/>
    <w:qFormat/>
    <w:uiPriority w:val="39"/>
    <w:pPr>
      <w:jc w:val="center"/>
    </w:pPr>
    <w:rPr>
      <w:sz w:val="21"/>
    </w:rPr>
    <w:tblPr>
      <w:tblBorders>
        <w:top w:val="single" w:color="000000" w:sz="4" w:space="0"/>
        <w:bottom w:val="single" w:color="000000" w:sz="4" w:space="0"/>
        <w:insideH w:val="single" w:color="000000" w:sz="4" w:space="0"/>
        <w:insideV w:val="single" w:color="000000" w:sz="4" w:space="0"/>
      </w:tblBorders>
      <w:tblCellMar>
        <w:top w:w="0" w:type="dxa"/>
        <w:left w:w="108" w:type="dxa"/>
        <w:bottom w:w="0" w:type="dxa"/>
        <w:right w:w="108" w:type="dxa"/>
      </w:tblCellMar>
    </w:tblPr>
    <w:tcPr>
      <w:vAlign w:val="center"/>
    </w:tcPr>
  </w:style>
  <w:style w:type="character" w:styleId="23">
    <w:name w:val="Strong"/>
    <w:qFormat/>
    <w:uiPriority w:val="22"/>
    <w:rPr>
      <w:b/>
      <w:bCs/>
    </w:rPr>
  </w:style>
  <w:style w:type="character" w:styleId="24">
    <w:name w:val="FollowedHyperlink"/>
    <w:basedOn w:val="22"/>
    <w:semiHidden/>
    <w:unhideWhenUsed/>
    <w:qFormat/>
    <w:uiPriority w:val="99"/>
    <w:rPr>
      <w:color w:val="000000"/>
      <w:u w:val="none"/>
    </w:rPr>
  </w:style>
  <w:style w:type="character" w:styleId="25">
    <w:name w:val="Emphasis"/>
    <w:basedOn w:val="22"/>
    <w:qFormat/>
    <w:uiPriority w:val="20"/>
  </w:style>
  <w:style w:type="character" w:styleId="26">
    <w:name w:val="Hyperlink"/>
    <w:unhideWhenUsed/>
    <w:qFormat/>
    <w:uiPriority w:val="99"/>
    <w:rPr>
      <w:color w:val="136EC2"/>
      <w:u w:val="single"/>
    </w:rPr>
  </w:style>
  <w:style w:type="character" w:styleId="27">
    <w:name w:val="annotation reference"/>
    <w:semiHidden/>
    <w:unhideWhenUsed/>
    <w:qFormat/>
    <w:uiPriority w:val="99"/>
    <w:rPr>
      <w:sz w:val="21"/>
      <w:szCs w:val="21"/>
    </w:rPr>
  </w:style>
  <w:style w:type="character" w:customStyle="1" w:styleId="28">
    <w:name w:val="页眉 Char"/>
    <w:link w:val="2"/>
    <w:qFormat/>
    <w:uiPriority w:val="99"/>
    <w:rPr>
      <w:sz w:val="18"/>
      <w:szCs w:val="18"/>
    </w:rPr>
  </w:style>
  <w:style w:type="character" w:customStyle="1" w:styleId="29">
    <w:name w:val="页脚 Char"/>
    <w:link w:val="14"/>
    <w:qFormat/>
    <w:uiPriority w:val="99"/>
    <w:rPr>
      <w:sz w:val="18"/>
      <w:szCs w:val="18"/>
    </w:rPr>
  </w:style>
  <w:style w:type="character" w:customStyle="1" w:styleId="30">
    <w:name w:val="文档结构图 Char"/>
    <w:link w:val="8"/>
    <w:semiHidden/>
    <w:qFormat/>
    <w:uiPriority w:val="99"/>
    <w:rPr>
      <w:rFonts w:ascii="宋体" w:eastAsia="宋体"/>
      <w:sz w:val="18"/>
      <w:szCs w:val="18"/>
    </w:rPr>
  </w:style>
  <w:style w:type="character" w:customStyle="1" w:styleId="31">
    <w:name w:val="日期 Char"/>
    <w:basedOn w:val="22"/>
    <w:link w:val="12"/>
    <w:semiHidden/>
    <w:qFormat/>
    <w:uiPriority w:val="99"/>
  </w:style>
  <w:style w:type="paragraph" w:customStyle="1" w:styleId="32">
    <w:name w:val="列出段落1"/>
    <w:basedOn w:val="1"/>
    <w:qFormat/>
    <w:uiPriority w:val="34"/>
    <w:pPr>
      <w:ind w:firstLine="0" w:firstLineChars="0"/>
      <w:jc w:val="center"/>
    </w:pPr>
    <w:rPr>
      <w:rFonts w:eastAsia="黑体"/>
    </w:rPr>
  </w:style>
  <w:style w:type="character" w:customStyle="1" w:styleId="33">
    <w:name w:val="批注框文本 Char"/>
    <w:link w:val="13"/>
    <w:semiHidden/>
    <w:qFormat/>
    <w:uiPriority w:val="99"/>
    <w:rPr>
      <w:sz w:val="18"/>
      <w:szCs w:val="18"/>
    </w:rPr>
  </w:style>
  <w:style w:type="character" w:customStyle="1" w:styleId="34">
    <w:name w:val="标题 1 Char"/>
    <w:link w:val="3"/>
    <w:autoRedefine/>
    <w:qFormat/>
    <w:uiPriority w:val="1"/>
    <w:rPr>
      <w:rFonts w:eastAsia="仿宋_GB2312"/>
      <w:b/>
      <w:bCs/>
      <w:kern w:val="44"/>
      <w:sz w:val="32"/>
      <w:szCs w:val="21"/>
    </w:rPr>
  </w:style>
  <w:style w:type="character" w:customStyle="1" w:styleId="35">
    <w:name w:val="标题 2 Char"/>
    <w:link w:val="4"/>
    <w:qFormat/>
    <w:uiPriority w:val="1"/>
    <w:rPr>
      <w:rFonts w:ascii="Cambria" w:hAnsi="Cambria"/>
      <w:b/>
      <w:bCs/>
      <w:sz w:val="30"/>
      <w:szCs w:val="32"/>
    </w:rPr>
  </w:style>
  <w:style w:type="paragraph" w:customStyle="1" w:styleId="36">
    <w:name w:val="办公正文1"/>
    <w:basedOn w:val="1"/>
    <w:link w:val="37"/>
    <w:qFormat/>
    <w:uiPriority w:val="0"/>
    <w:pPr>
      <w:widowControl/>
    </w:pPr>
    <w:rPr>
      <w:rFonts w:ascii="方正仿宋_GBK" w:hAnsi="方正仿宋_GBK" w:eastAsia="方正仿宋_GBK"/>
      <w:kern w:val="0"/>
      <w:sz w:val="32"/>
      <w:szCs w:val="32"/>
    </w:rPr>
  </w:style>
  <w:style w:type="character" w:customStyle="1" w:styleId="37">
    <w:name w:val="办公正文1 Char"/>
    <w:link w:val="36"/>
    <w:qFormat/>
    <w:uiPriority w:val="0"/>
    <w:rPr>
      <w:rFonts w:ascii="方正仿宋_GBK" w:hAnsi="方正仿宋_GBK" w:eastAsia="方正仿宋_GBK" w:cs="Times New Roman"/>
      <w:sz w:val="32"/>
      <w:szCs w:val="32"/>
    </w:rPr>
  </w:style>
  <w:style w:type="character" w:customStyle="1" w:styleId="38">
    <w:name w:val="标题 3 Char"/>
    <w:link w:val="5"/>
    <w:qFormat/>
    <w:uiPriority w:val="1"/>
    <w:rPr>
      <w:rFonts w:ascii="Times New Roman" w:hAnsi="Times New Roman" w:eastAsia="仿宋"/>
      <w:b/>
      <w:bCs/>
      <w:sz w:val="28"/>
      <w:szCs w:val="32"/>
    </w:rPr>
  </w:style>
  <w:style w:type="character" w:customStyle="1" w:styleId="39">
    <w:name w:val="ca-01"/>
    <w:qFormat/>
    <w:uiPriority w:val="0"/>
    <w:rPr>
      <w:rFonts w:hint="eastAsia" w:ascii="宋体" w:hAnsi="宋体" w:eastAsia="宋体"/>
      <w:sz w:val="18"/>
      <w:szCs w:val="18"/>
    </w:rPr>
  </w:style>
  <w:style w:type="paragraph" w:customStyle="1" w:styleId="40">
    <w:name w:val="修订1"/>
    <w:hidden/>
    <w:semiHidden/>
    <w:qFormat/>
    <w:uiPriority w:val="99"/>
    <w:rPr>
      <w:rFonts w:ascii="Calibri" w:hAnsi="Calibri" w:eastAsia="宋体" w:cs="Times New Roman"/>
      <w:kern w:val="2"/>
      <w:sz w:val="21"/>
      <w:szCs w:val="22"/>
      <w:lang w:val="en-US" w:eastAsia="zh-CN" w:bidi="ar-SA"/>
    </w:rPr>
  </w:style>
  <w:style w:type="character" w:customStyle="1" w:styleId="41">
    <w:name w:val="HTML 预设格式 Char"/>
    <w:link w:val="17"/>
    <w:semiHidden/>
    <w:qFormat/>
    <w:uiPriority w:val="99"/>
    <w:rPr>
      <w:rFonts w:ascii="宋体" w:hAnsi="宋体" w:cs="宋体"/>
      <w:sz w:val="24"/>
      <w:szCs w:val="24"/>
    </w:rPr>
  </w:style>
  <w:style w:type="character" w:customStyle="1" w:styleId="42">
    <w:name w:val="apple-converted-space"/>
    <w:basedOn w:val="22"/>
    <w:qFormat/>
    <w:uiPriority w:val="0"/>
  </w:style>
  <w:style w:type="character" w:customStyle="1" w:styleId="43">
    <w:name w:val="标题 4 Char"/>
    <w:link w:val="6"/>
    <w:qFormat/>
    <w:uiPriority w:val="9"/>
    <w:rPr>
      <w:rFonts w:ascii="Cambria" w:hAnsi="Cambria" w:eastAsia="仿宋"/>
      <w:b/>
      <w:bCs/>
      <w:kern w:val="2"/>
      <w:sz w:val="24"/>
      <w:szCs w:val="28"/>
    </w:rPr>
  </w:style>
  <w:style w:type="paragraph" w:customStyle="1" w:styleId="44">
    <w:name w:val="TOC 标题1"/>
    <w:basedOn w:val="3"/>
    <w:next w:val="1"/>
    <w:semiHidden/>
    <w:unhideWhenUsed/>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45">
    <w:name w:val="目录 21"/>
    <w:basedOn w:val="1"/>
    <w:next w:val="1"/>
    <w:unhideWhenUsed/>
    <w:qFormat/>
    <w:uiPriority w:val="39"/>
    <w:pPr>
      <w:widowControl/>
      <w:spacing w:after="100" w:line="276" w:lineRule="auto"/>
      <w:ind w:left="220"/>
      <w:jc w:val="left"/>
    </w:pPr>
    <w:rPr>
      <w:rFonts w:ascii="Calibri" w:hAnsi="Calibri" w:eastAsia="宋体"/>
      <w:kern w:val="0"/>
      <w:sz w:val="22"/>
    </w:rPr>
  </w:style>
  <w:style w:type="paragraph" w:customStyle="1" w:styleId="46">
    <w:name w:val="目录 11"/>
    <w:basedOn w:val="1"/>
    <w:next w:val="1"/>
    <w:unhideWhenUsed/>
    <w:qFormat/>
    <w:uiPriority w:val="39"/>
    <w:pPr>
      <w:widowControl/>
      <w:tabs>
        <w:tab w:val="right" w:leader="dot" w:pos="8296"/>
      </w:tabs>
      <w:spacing w:after="100" w:line="276" w:lineRule="auto"/>
      <w:jc w:val="center"/>
    </w:pPr>
    <w:rPr>
      <w:kern w:val="0"/>
      <w:sz w:val="28"/>
      <w:szCs w:val="28"/>
    </w:rPr>
  </w:style>
  <w:style w:type="paragraph" w:customStyle="1" w:styleId="47">
    <w:name w:val="目录 31"/>
    <w:basedOn w:val="1"/>
    <w:next w:val="1"/>
    <w:autoRedefine/>
    <w:unhideWhenUsed/>
    <w:qFormat/>
    <w:uiPriority w:val="39"/>
    <w:pPr>
      <w:widowControl/>
      <w:spacing w:after="100" w:line="276" w:lineRule="auto"/>
      <w:ind w:left="440"/>
      <w:jc w:val="left"/>
    </w:pPr>
    <w:rPr>
      <w:rFonts w:ascii="Calibri" w:hAnsi="Calibri" w:eastAsia="宋体"/>
      <w:kern w:val="0"/>
      <w:sz w:val="22"/>
    </w:rPr>
  </w:style>
  <w:style w:type="character" w:customStyle="1" w:styleId="48">
    <w:name w:val="批注文字 Char"/>
    <w:link w:val="9"/>
    <w:autoRedefine/>
    <w:semiHidden/>
    <w:qFormat/>
    <w:uiPriority w:val="99"/>
    <w:rPr>
      <w:kern w:val="2"/>
      <w:sz w:val="21"/>
      <w:szCs w:val="22"/>
    </w:rPr>
  </w:style>
  <w:style w:type="character" w:customStyle="1" w:styleId="49">
    <w:name w:val="批注主题 Char"/>
    <w:link w:val="19"/>
    <w:autoRedefine/>
    <w:semiHidden/>
    <w:qFormat/>
    <w:uiPriority w:val="99"/>
    <w:rPr>
      <w:b/>
      <w:bCs/>
      <w:kern w:val="2"/>
      <w:sz w:val="21"/>
      <w:szCs w:val="22"/>
    </w:rPr>
  </w:style>
  <w:style w:type="table" w:customStyle="1" w:styleId="50">
    <w:name w:val="Table Normal"/>
    <w:autoRedefine/>
    <w:semiHidden/>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51">
    <w:name w:val="正文文本 Char"/>
    <w:link w:val="10"/>
    <w:autoRedefine/>
    <w:qFormat/>
    <w:uiPriority w:val="1"/>
    <w:rPr>
      <w:rFonts w:ascii="微软雅黑" w:hAnsi="微软雅黑" w:eastAsia="宋体"/>
      <w:sz w:val="24"/>
      <w:szCs w:val="21"/>
      <w:lang w:eastAsia="en-US"/>
    </w:rPr>
  </w:style>
  <w:style w:type="paragraph" w:customStyle="1" w:styleId="52">
    <w:name w:val="Table Paragraph"/>
    <w:basedOn w:val="1"/>
    <w:autoRedefine/>
    <w:qFormat/>
    <w:uiPriority w:val="1"/>
    <w:pPr>
      <w:jc w:val="left"/>
    </w:pPr>
    <w:rPr>
      <w:rFonts w:ascii="Calibri" w:hAnsi="Calibri" w:eastAsia="宋体"/>
      <w:kern w:val="0"/>
      <w:sz w:val="22"/>
      <w:lang w:eastAsia="en-US"/>
    </w:rPr>
  </w:style>
  <w:style w:type="paragraph" w:styleId="53">
    <w:name w:val="No Spacing"/>
    <w:autoRedefine/>
    <w:qFormat/>
    <w:uiPriority w:val="1"/>
    <w:pPr>
      <w:widowControl w:val="0"/>
      <w:jc w:val="center"/>
    </w:pPr>
    <w:rPr>
      <w:rFonts w:ascii="Times New Roman" w:hAnsi="Times New Roman" w:eastAsia="宋体" w:cs="Times New Roman"/>
      <w:kern w:val="2"/>
      <w:sz w:val="21"/>
      <w:szCs w:val="22"/>
      <w:lang w:val="en-US" w:eastAsia="zh-CN" w:bidi="ar-SA"/>
    </w:rPr>
  </w:style>
  <w:style w:type="table" w:customStyle="1" w:styleId="54">
    <w:name w:val="样式1"/>
    <w:basedOn w:val="20"/>
    <w:autoRedefine/>
    <w:qFormat/>
    <w:uiPriority w:val="99"/>
    <w:rPr>
      <w:sz w:val="21"/>
    </w:rPr>
    <w:tblPr>
      <w:tblCellMar>
        <w:top w:w="0" w:type="dxa"/>
        <w:left w:w="108" w:type="dxa"/>
        <w:bottom w:w="0" w:type="dxa"/>
        <w:right w:w="108" w:type="dxa"/>
      </w:tblCellMar>
    </w:tblPr>
  </w:style>
  <w:style w:type="paragraph" w:customStyle="1" w:styleId="55">
    <w:name w:val="表格"/>
    <w:basedOn w:val="1"/>
    <w:link w:val="57"/>
    <w:autoRedefine/>
    <w:qFormat/>
    <w:uiPriority w:val="0"/>
    <w:pPr>
      <w:ind w:firstLine="0" w:firstLineChars="0"/>
      <w:jc w:val="center"/>
    </w:pPr>
    <w:rPr>
      <w:rFonts w:eastAsia="宋体"/>
      <w:sz w:val="21"/>
      <w:szCs w:val="18"/>
    </w:rPr>
  </w:style>
  <w:style w:type="paragraph" w:customStyle="1" w:styleId="56">
    <w:name w:val="Default"/>
    <w:autoRedefine/>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57">
    <w:name w:val="表格 Char"/>
    <w:link w:val="55"/>
    <w:autoRedefine/>
    <w:qFormat/>
    <w:uiPriority w:val="0"/>
    <w:rPr>
      <w:rFonts w:ascii="Times New Roman" w:hAnsi="Times New Roman" w:eastAsia="宋体"/>
      <w:kern w:val="2"/>
      <w:sz w:val="21"/>
      <w:szCs w:val="18"/>
    </w:rPr>
  </w:style>
  <w:style w:type="character" w:customStyle="1" w:styleId="58">
    <w:name w:val="页眉 字符"/>
    <w:autoRedefine/>
    <w:qFormat/>
    <w:uiPriority w:val="99"/>
    <w:rPr>
      <w:sz w:val="18"/>
      <w:szCs w:val="18"/>
    </w:rPr>
  </w:style>
  <w:style w:type="character" w:customStyle="1" w:styleId="59">
    <w:name w:val="页脚 字符"/>
    <w:autoRedefine/>
    <w:qFormat/>
    <w:uiPriority w:val="99"/>
    <w:rPr>
      <w:sz w:val="18"/>
      <w:szCs w:val="18"/>
    </w:rPr>
  </w:style>
  <w:style w:type="character" w:customStyle="1" w:styleId="60">
    <w:name w:val="fontstyle01"/>
    <w:basedOn w:val="22"/>
    <w:autoRedefine/>
    <w:qFormat/>
    <w:uiPriority w:val="0"/>
    <w:rPr>
      <w:rFonts w:hint="eastAsia" w:ascii="宋体" w:hAnsi="宋体" w:eastAsia="宋体"/>
      <w:color w:val="000000"/>
      <w:sz w:val="32"/>
      <w:szCs w:val="32"/>
    </w:rPr>
  </w:style>
  <w:style w:type="character" w:customStyle="1" w:styleId="61">
    <w:name w:val="fontstyle21"/>
    <w:basedOn w:val="22"/>
    <w:autoRedefine/>
    <w:qFormat/>
    <w:uiPriority w:val="0"/>
    <w:rPr>
      <w:rFonts w:hint="eastAsia" w:ascii="黑体" w:hAnsi="黑体" w:eastAsia="黑体"/>
      <w:color w:val="000000"/>
      <w:sz w:val="32"/>
      <w:szCs w:val="32"/>
    </w:rPr>
  </w:style>
  <w:style w:type="paragraph" w:styleId="62">
    <w:name w:val="List Paragraph"/>
    <w:basedOn w:val="1"/>
    <w:autoRedefine/>
    <w:qFormat/>
    <w:uiPriority w:val="99"/>
    <w:pPr>
      <w:ind w:firstLine="0" w:firstLineChars="0"/>
      <w:jc w:val="center"/>
    </w:pPr>
    <w:rPr>
      <w:rFonts w:eastAsia="黑体"/>
    </w:rPr>
  </w:style>
  <w:style w:type="paragraph" w:customStyle="1" w:styleId="63">
    <w:name w:val="_Style 56"/>
    <w:basedOn w:val="1"/>
    <w:next w:val="62"/>
    <w:autoRedefine/>
    <w:qFormat/>
    <w:uiPriority w:val="1"/>
    <w:pPr>
      <w:ind w:firstLine="0" w:firstLineChars="0"/>
      <w:jc w:val="center"/>
    </w:pPr>
    <w:rPr>
      <w:rFonts w:eastAsia="黑体"/>
    </w:rPr>
  </w:style>
  <w:style w:type="paragraph" w:customStyle="1" w:styleId="64">
    <w:name w:val="段"/>
    <w:link w:val="6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5">
    <w:name w:val="段 Char"/>
    <w:link w:val="64"/>
    <w:autoRedefine/>
    <w:qFormat/>
    <w:uiPriority w:val="0"/>
    <w:rPr>
      <w:rFonts w:ascii="宋体" w:hAnsi="Times New Roman"/>
      <w:sz w:val="21"/>
    </w:rPr>
  </w:style>
  <w:style w:type="paragraph" w:customStyle="1" w:styleId="66">
    <w:name w:val="注："/>
    <w:next w:val="64"/>
    <w:autoRedefine/>
    <w:qFormat/>
    <w:uiPriority w:val="0"/>
    <w:pPr>
      <w:widowControl w:val="0"/>
      <w:numPr>
        <w:ilvl w:val="0"/>
        <w:numId w:val="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67">
    <w:name w:val="标准正文"/>
    <w:basedOn w:val="10"/>
    <w:autoRedefine/>
    <w:qFormat/>
    <w:uiPriority w:val="1"/>
    <w:pPr>
      <w:spacing w:before="8" w:line="273" w:lineRule="auto"/>
      <w:ind w:firstLine="420"/>
    </w:pPr>
    <w:rPr>
      <w:rFonts w:ascii="Times New Roman" w:hAnsi="Times New Roman"/>
      <w:spacing w:val="-4"/>
      <w:lang w:eastAsia="zh-CN"/>
    </w:rPr>
  </w:style>
  <w:style w:type="paragraph" w:customStyle="1" w:styleId="68">
    <w:name w:val="一级标题"/>
    <w:basedOn w:val="10"/>
    <w:link w:val="84"/>
    <w:autoRedefine/>
    <w:qFormat/>
    <w:uiPriority w:val="1"/>
    <w:pPr>
      <w:tabs>
        <w:tab w:val="left" w:pos="433"/>
      </w:tabs>
      <w:spacing w:before="36"/>
      <w:outlineLvl w:val="0"/>
    </w:pPr>
    <w:rPr>
      <w:rFonts w:ascii="Times New Roman" w:hAnsi="Times New Roman" w:eastAsia="黑体"/>
      <w:lang w:eastAsia="zh-CN"/>
    </w:rPr>
  </w:style>
  <w:style w:type="paragraph" w:customStyle="1" w:styleId="69">
    <w:name w:val="二级标题"/>
    <w:basedOn w:val="62"/>
    <w:link w:val="83"/>
    <w:autoRedefine/>
    <w:qFormat/>
    <w:uiPriority w:val="1"/>
    <w:pPr>
      <w:tabs>
        <w:tab w:val="left" w:pos="645"/>
        <w:tab w:val="left" w:pos="2115"/>
      </w:tabs>
      <w:spacing w:before="50" w:beforeLines="50" w:after="50" w:afterLines="50"/>
      <w:ind w:right="108"/>
      <w:outlineLvl w:val="1"/>
    </w:pPr>
    <w:rPr>
      <w:spacing w:val="-1"/>
      <w:sz w:val="21"/>
      <w:szCs w:val="21"/>
    </w:rPr>
  </w:style>
  <w:style w:type="paragraph" w:customStyle="1" w:styleId="70">
    <w:name w:val="标准正文-1"/>
    <w:basedOn w:val="10"/>
    <w:autoRedefine/>
    <w:qFormat/>
    <w:uiPriority w:val="1"/>
    <w:pPr>
      <w:ind w:firstLine="480" w:firstLineChars="200"/>
      <w:jc w:val="both"/>
      <w:outlineLvl w:val="9"/>
    </w:pPr>
    <w:rPr>
      <w:rFonts w:ascii="Times New Roman" w:hAnsi="Times New Roman" w:eastAsia="仿宋"/>
      <w:color w:val="000000"/>
      <w:kern w:val="2"/>
      <w:szCs w:val="28"/>
      <w:lang w:eastAsia="zh-CN"/>
    </w:rPr>
  </w:style>
  <w:style w:type="paragraph" w:customStyle="1" w:styleId="71">
    <w:name w:val="三级标题"/>
    <w:basedOn w:val="69"/>
    <w:qFormat/>
    <w:uiPriority w:val="1"/>
    <w:pPr>
      <w:outlineLvl w:val="2"/>
    </w:pPr>
  </w:style>
  <w:style w:type="paragraph" w:customStyle="1" w:styleId="72">
    <w:name w:val="指南正文"/>
    <w:basedOn w:val="1"/>
    <w:autoRedefine/>
    <w:qFormat/>
    <w:uiPriority w:val="0"/>
    <w:pPr>
      <w:autoSpaceDE w:val="0"/>
      <w:autoSpaceDN w:val="0"/>
      <w:adjustRightInd w:val="0"/>
      <w:ind w:firstLine="480"/>
    </w:pPr>
    <w:rPr>
      <w:rFonts w:eastAsia="仿宋_GB2312"/>
      <w:szCs w:val="24"/>
    </w:rPr>
  </w:style>
  <w:style w:type="character" w:customStyle="1" w:styleId="73">
    <w:name w:val="指南一级 Char"/>
    <w:link w:val="74"/>
    <w:autoRedefine/>
    <w:qFormat/>
    <w:uiPriority w:val="0"/>
    <w:rPr>
      <w:rFonts w:eastAsia="仿宋_GB2312"/>
      <w:sz w:val="28"/>
      <w:lang w:eastAsia="zh-CN"/>
    </w:rPr>
  </w:style>
  <w:style w:type="paragraph" w:customStyle="1" w:styleId="74">
    <w:name w:val="指南一级"/>
    <w:basedOn w:val="3"/>
    <w:link w:val="73"/>
    <w:autoRedefine/>
    <w:qFormat/>
    <w:uiPriority w:val="0"/>
    <w:rPr>
      <w:bCs w:val="0"/>
      <w:sz w:val="28"/>
    </w:rPr>
  </w:style>
  <w:style w:type="character" w:customStyle="1" w:styleId="75">
    <w:name w:val="radio-btn"/>
    <w:basedOn w:val="22"/>
    <w:autoRedefine/>
    <w:qFormat/>
    <w:uiPriority w:val="0"/>
    <w:rPr>
      <w:sz w:val="21"/>
      <w:szCs w:val="21"/>
    </w:rPr>
  </w:style>
  <w:style w:type="character" w:customStyle="1" w:styleId="76">
    <w:name w:val="radio-btn1"/>
    <w:basedOn w:val="22"/>
    <w:autoRedefine/>
    <w:qFormat/>
    <w:uiPriority w:val="0"/>
    <w:rPr>
      <w:sz w:val="24"/>
      <w:szCs w:val="24"/>
    </w:rPr>
  </w:style>
  <w:style w:type="character" w:customStyle="1" w:styleId="77">
    <w:name w:val="radio-btn2"/>
    <w:basedOn w:val="22"/>
    <w:autoRedefine/>
    <w:qFormat/>
    <w:uiPriority w:val="0"/>
    <w:rPr>
      <w:sz w:val="24"/>
      <w:szCs w:val="24"/>
    </w:rPr>
  </w:style>
  <w:style w:type="character" w:customStyle="1" w:styleId="78">
    <w:name w:val="lable"/>
    <w:basedOn w:val="22"/>
    <w:autoRedefine/>
    <w:qFormat/>
    <w:uiPriority w:val="0"/>
    <w:rPr>
      <w:sz w:val="24"/>
      <w:szCs w:val="24"/>
    </w:rPr>
  </w:style>
  <w:style w:type="character" w:customStyle="1" w:styleId="79">
    <w:name w:val="lishishuju"/>
    <w:basedOn w:val="22"/>
    <w:autoRedefine/>
    <w:qFormat/>
    <w:uiPriority w:val="0"/>
    <w:rPr>
      <w:b/>
      <w:bCs/>
      <w:color w:val="000052"/>
      <w:sz w:val="24"/>
      <w:szCs w:val="24"/>
      <w:bdr w:val="single" w:color="E3E3E3" w:sz="6" w:space="0"/>
    </w:rPr>
  </w:style>
  <w:style w:type="character" w:customStyle="1" w:styleId="80">
    <w:name w:val="znspantitle"/>
    <w:basedOn w:val="22"/>
    <w:autoRedefine/>
    <w:qFormat/>
    <w:uiPriority w:val="0"/>
    <w:rPr>
      <w:b/>
      <w:bCs/>
      <w:color w:val="333333"/>
    </w:rPr>
  </w:style>
  <w:style w:type="character" w:customStyle="1" w:styleId="81">
    <w:name w:val="cur1"/>
    <w:basedOn w:val="22"/>
    <w:autoRedefine/>
    <w:qFormat/>
    <w:uiPriority w:val="0"/>
    <w:rPr>
      <w:color w:val="FFFFFF"/>
      <w:shd w:val="clear" w:color="auto" w:fill="2F6B98"/>
    </w:rPr>
  </w:style>
  <w:style w:type="paragraph" w:customStyle="1" w:styleId="82">
    <w:name w:val="修订2"/>
    <w:autoRedefine/>
    <w:hidden/>
    <w:semiHidden/>
    <w:qFormat/>
    <w:uiPriority w:val="99"/>
    <w:rPr>
      <w:rFonts w:ascii="Times New Roman" w:hAnsi="Times New Roman" w:eastAsia="仿宋" w:cs="Times New Roman"/>
      <w:kern w:val="2"/>
      <w:sz w:val="24"/>
      <w:szCs w:val="22"/>
      <w:lang w:val="en-US" w:eastAsia="zh-CN" w:bidi="ar-SA"/>
    </w:rPr>
  </w:style>
  <w:style w:type="character" w:customStyle="1" w:styleId="83">
    <w:name w:val="二级标题 Char"/>
    <w:link w:val="69"/>
    <w:autoRedefine/>
    <w:qFormat/>
    <w:uiPriority w:val="1"/>
    <w:rPr>
      <w:rFonts w:eastAsia="黑体"/>
      <w:spacing w:val="-1"/>
      <w:kern w:val="2"/>
      <w:sz w:val="21"/>
      <w:szCs w:val="21"/>
    </w:rPr>
  </w:style>
  <w:style w:type="character" w:customStyle="1" w:styleId="84">
    <w:name w:val="一级标题 Char"/>
    <w:link w:val="68"/>
    <w:autoRedefine/>
    <w:qFormat/>
    <w:uiPriority w:val="1"/>
    <w:rPr>
      <w:rFonts w:eastAsia="黑体"/>
      <w:sz w:val="24"/>
      <w:szCs w:val="21"/>
    </w:rPr>
  </w:style>
  <w:style w:type="paragraph" w:customStyle="1" w:styleId="85">
    <w:name w:val="TOC 标题2"/>
    <w:basedOn w:val="3"/>
    <w:next w:val="1"/>
    <w:autoRedefine/>
    <w:unhideWhenUsed/>
    <w:qFormat/>
    <w:uiPriority w:val="39"/>
    <w:pPr>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6.png"/><Relationship Id="rId21" Type="http://schemas.openxmlformats.org/officeDocument/2006/relationships/image" Target="media/image5.emf"/><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image" Target="media/image2.emf"/><Relationship Id="rId17" Type="http://schemas.openxmlformats.org/officeDocument/2006/relationships/chart" Target="charts/chart3.xml"/><Relationship Id="rId16" Type="http://schemas.openxmlformats.org/officeDocument/2006/relationships/chart" Target="charts/chart2.xml"/><Relationship Id="rId15" Type="http://schemas.openxmlformats.org/officeDocument/2006/relationships/chart" Target="charts/chart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ELL\Desktop\&#26032;&#24314;%20XLSX%20&#24037;&#20316;&#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ELL\Desktop\2021&#24180;&#21644;2020&#22522;&#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DELL\Desktop\2021&#24180;&#21644;2020&#22522;&#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01095800524934"/>
          <c:y val="0.114150262467192"/>
          <c:w val="0.500423884514436"/>
          <c:h val="0.774316163640727"/>
        </c:manualLayout>
      </c:layout>
      <c:pie3DChart>
        <c:varyColors val="1"/>
        <c:ser>
          <c:idx val="0"/>
          <c:order val="0"/>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Pt>
            <c:idx val="4"/>
            <c:bubble3D val="0"/>
            <c:spPr>
              <a:solidFill>
                <a:schemeClr val="accent5"/>
              </a:solidFill>
              <a:ln>
                <a:noFill/>
              </a:ln>
              <a:effectLst>
                <a:outerShdw blurRad="254000" sx="102000" sy="102000" algn="ctr" rotWithShape="0">
                  <a:prstClr val="black">
                    <a:alpha val="20000"/>
                  </a:prstClr>
                </a:outerShdw>
              </a:effectLst>
            </c:spPr>
          </c:dPt>
          <c:dPt>
            <c:idx val="5"/>
            <c:bubble3D val="0"/>
            <c:spPr>
              <a:solidFill>
                <a:schemeClr val="accent6"/>
              </a:solidFill>
              <a:ln>
                <a:noFill/>
              </a:ln>
              <a:effectLst>
                <a:outerShdw blurRad="254000" sx="102000" sy="102000" algn="ctr" rotWithShape="0">
                  <a:prstClr val="black">
                    <a:alpha val="20000"/>
                  </a:prstClr>
                </a:outerShdw>
              </a:effectLst>
            </c:spPr>
          </c:dPt>
          <c:dPt>
            <c:idx val="6"/>
            <c:bubble3D val="0"/>
            <c:spPr>
              <a:solidFill>
                <a:schemeClr val="accent1">
                  <a:lumMod val="60000"/>
                </a:schemeClr>
              </a:solidFill>
              <a:ln>
                <a:noFill/>
              </a:ln>
              <a:effectLst>
                <a:outerShdw blurRad="254000" sx="102000" sy="102000" algn="ctr" rotWithShape="0">
                  <a:prstClr val="black">
                    <a:alpha val="20000"/>
                  </a:prstClr>
                </a:outerShdw>
              </a:effectLst>
            </c:spPr>
          </c:dPt>
          <c:dPt>
            <c:idx val="7"/>
            <c:bubble3D val="0"/>
            <c:spPr>
              <a:solidFill>
                <a:schemeClr val="accent2">
                  <a:lumMod val="60000"/>
                </a:schemeClr>
              </a:solidFill>
              <a:ln>
                <a:noFill/>
              </a:ln>
              <a:effectLst>
                <a:outerShdw blurRad="254000" sx="102000" sy="102000" algn="ctr" rotWithShape="0">
                  <a:prstClr val="black">
                    <a:alpha val="20000"/>
                  </a:prstClr>
                </a:outerShdw>
              </a:effectLst>
            </c:spPr>
          </c:dPt>
          <c:dPt>
            <c:idx val="8"/>
            <c:bubble3D val="0"/>
            <c:spPr>
              <a:solidFill>
                <a:schemeClr val="accent3">
                  <a:lumMod val="60000"/>
                </a:schemeClr>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'[新建 XLSX 工作表.xlsx]Sheet1'!$B$1:$B$9</c:f>
              <c:strCache>
                <c:ptCount val="9"/>
                <c:pt idx="0">
                  <c:v>有机化学原料制造（C2614）</c:v>
                </c:pt>
                <c:pt idx="1">
                  <c:v>其他基础化学原料制造（C2619）</c:v>
                </c:pt>
                <c:pt idx="2">
                  <c:v>农药制造(C263)</c:v>
                </c:pt>
                <c:pt idx="3">
                  <c:v>涂料制造（C2641）</c:v>
                </c:pt>
                <c:pt idx="4">
                  <c:v>染料制造（C2645）</c:v>
                </c:pt>
                <c:pt idx="5">
                  <c:v>密封用填料及类似品制造（C2646）</c:v>
                </c:pt>
                <c:pt idx="6">
                  <c:v>合成材料制造（C265）</c:v>
                </c:pt>
                <c:pt idx="7">
                  <c:v>专用化学产品制造（不含无机化学品制造）（C266）</c:v>
                </c:pt>
                <c:pt idx="8">
                  <c:v>日用化学产品制造（C268）</c:v>
                </c:pt>
              </c:strCache>
            </c:strRef>
          </c:cat>
          <c:val>
            <c:numRef>
              <c:f>'[新建 XLSX 工作表.xlsx]Sheet1'!$C$1:$C$9</c:f>
              <c:numCache>
                <c:formatCode>0.0%</c:formatCode>
                <c:ptCount val="9"/>
                <c:pt idx="0">
                  <c:v>0.143835616438356</c:v>
                </c:pt>
                <c:pt idx="1">
                  <c:v>0.0821917808219178</c:v>
                </c:pt>
                <c:pt idx="2">
                  <c:v>0.0513698630136986</c:v>
                </c:pt>
                <c:pt idx="3">
                  <c:v>0.143835616438356</c:v>
                </c:pt>
                <c:pt idx="4">
                  <c:v>0.0222602739726027</c:v>
                </c:pt>
                <c:pt idx="5">
                  <c:v>0.00342465753424658</c:v>
                </c:pt>
                <c:pt idx="6">
                  <c:v>0.0702054794520548</c:v>
                </c:pt>
                <c:pt idx="7">
                  <c:v>0.39041095890411</c:v>
                </c:pt>
                <c:pt idx="8">
                  <c:v>0.0924657534246575</c:v>
                </c:pt>
              </c:numCache>
            </c:numRef>
          </c:val>
        </c:ser>
        <c:dLbls>
          <c:showLegendKey val="0"/>
          <c:showVal val="1"/>
          <c:showCatName val="0"/>
          <c:showSerName val="0"/>
          <c:showPercent val="0"/>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7"/>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8"/>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manualLayout>
          <c:xMode val="edge"/>
          <c:yMode val="edge"/>
          <c:x val="0.630643044619423"/>
          <c:y val="0.0830672207640712"/>
          <c:w val="0.352690288713911"/>
          <c:h val="0.889421114027413"/>
        </c:manualLayout>
      </c:layout>
      <c:overlay val="0"/>
      <c:spPr>
        <a:solidFill>
          <a:schemeClr val="bg1"/>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extLst>
      <c:ext uri="{0b15fc19-7d7d-44ad-8c2d-2c3a37ce22c3}">
        <chartProps xmlns="https://web.wps.cn/et/2018/main" chartId="{4d28a83d-e611-46bf-90a5-57770e0d1ea0}"/>
      </c:ext>
    </c:extLst>
  </c:chart>
  <c:spPr>
    <a:solidFill>
      <a:sysClr val="window" lastClr="FFFFFF"/>
    </a:solidFill>
    <a:ln w="9525" cap="flat" cmpd="sng" algn="ctr">
      <a:noFill/>
      <a:prstDash val="solid"/>
      <a:round/>
    </a:ln>
    <a:effectLst/>
  </c:spPr>
  <c:txPr>
    <a:bodyPr/>
    <a:lstStyle/>
    <a:p>
      <a:pPr>
        <a:defRPr lang="zh-CN">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Pt>
            <c:idx val="4"/>
            <c:bubble3D val="0"/>
            <c:spPr>
              <a:solidFill>
                <a:schemeClr val="accent5"/>
              </a:solidFill>
              <a:ln>
                <a:noFill/>
              </a:ln>
              <a:effectLst>
                <a:outerShdw blurRad="254000" sx="102000" sy="102000" algn="ctr" rotWithShape="0">
                  <a:prstClr val="black">
                    <a:alpha val="20000"/>
                  </a:prstClr>
                </a:outerShdw>
              </a:effectLst>
            </c:spPr>
          </c:dPt>
          <c:dPt>
            <c:idx val="5"/>
            <c:bubble3D val="0"/>
            <c:spPr>
              <a:solidFill>
                <a:schemeClr val="accent6"/>
              </a:solidFill>
              <a:ln>
                <a:noFill/>
              </a:ln>
              <a:effectLst>
                <a:outerShdw blurRad="254000" sx="102000" sy="102000" algn="ctr" rotWithShape="0">
                  <a:prstClr val="black">
                    <a:alpha val="20000"/>
                  </a:prstClr>
                </a:outerShdw>
              </a:effectLst>
            </c:spPr>
          </c:dPt>
          <c:dPt>
            <c:idx val="6"/>
            <c:bubble3D val="0"/>
            <c:spPr>
              <a:solidFill>
                <a:schemeClr val="accent1">
                  <a:lumMod val="60000"/>
                </a:schemeClr>
              </a:solidFill>
              <a:ln>
                <a:noFill/>
              </a:ln>
              <a:effectLst>
                <a:outerShdw blurRad="254000" sx="102000" sy="102000" algn="ctr" rotWithShape="0">
                  <a:prstClr val="black">
                    <a:alpha val="20000"/>
                  </a:prstClr>
                </a:outerShdw>
              </a:effectLst>
            </c:spPr>
          </c:dPt>
          <c:dPt>
            <c:idx val="7"/>
            <c:bubble3D val="0"/>
            <c:spPr>
              <a:solidFill>
                <a:schemeClr val="accent2">
                  <a:lumMod val="60000"/>
                </a:schemeClr>
              </a:solidFill>
              <a:ln>
                <a:noFill/>
              </a:ln>
              <a:effectLst>
                <a:outerShdw blurRad="254000" sx="102000" sy="102000" algn="ctr" rotWithShape="0">
                  <a:prstClr val="black">
                    <a:alpha val="20000"/>
                  </a:prstClr>
                </a:outerShdw>
              </a:effectLst>
            </c:spPr>
          </c:dPt>
          <c:dPt>
            <c:idx val="8"/>
            <c:bubble3D val="0"/>
            <c:spPr>
              <a:solidFill>
                <a:schemeClr val="accent3">
                  <a:lumMod val="60000"/>
                </a:schemeClr>
              </a:solidFill>
              <a:ln>
                <a:noFill/>
              </a:ln>
              <a:effectLst>
                <a:outerShdw blurRad="254000" sx="102000" sy="102000" algn="ctr" rotWithShape="0">
                  <a:prstClr val="black">
                    <a:alpha val="20000"/>
                  </a:prstClr>
                </a:outerShdw>
              </a:effectLst>
            </c:spPr>
          </c:dPt>
          <c:dPt>
            <c:idx val="9"/>
            <c:bubble3D val="0"/>
            <c:spPr>
              <a:solidFill>
                <a:schemeClr val="accent4">
                  <a:lumMod val="60000"/>
                </a:schemeClr>
              </a:solidFill>
              <a:ln>
                <a:noFill/>
              </a:ln>
              <a:effectLst>
                <a:outerShdw blurRad="254000" sx="102000" sy="102000" algn="ctr" rotWithShape="0">
                  <a:prstClr val="black">
                    <a:alpha val="20000"/>
                  </a:prstClr>
                </a:outerShdw>
              </a:effectLst>
            </c:spPr>
          </c:dPt>
          <c:dPt>
            <c:idx val="10"/>
            <c:bubble3D val="0"/>
            <c:spPr>
              <a:solidFill>
                <a:schemeClr val="accent5">
                  <a:lumMod val="60000"/>
                </a:schemeClr>
              </a:solidFill>
              <a:ln>
                <a:noFill/>
              </a:ln>
              <a:effectLst>
                <a:outerShdw blurRad="254000" sx="102000" sy="102000" algn="ctr" rotWithShape="0">
                  <a:prstClr val="black">
                    <a:alpha val="20000"/>
                  </a:prstClr>
                </a:outerShdw>
              </a:effectLst>
            </c:spPr>
          </c:dPt>
          <c:dLbls>
            <c:dLbl>
              <c:idx val="5"/>
              <c:layout>
                <c:manualLayout>
                  <c:x val="0.0905509885059848"/>
                  <c:y val="-0.19185374775900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[2021年和2020基表.xlsx]Sheet6!$F$5:$F$15</c:f>
              <c:strCache>
                <c:ptCount val="11"/>
                <c:pt idx="0">
                  <c:v>抚州市</c:v>
                </c:pt>
                <c:pt idx="1">
                  <c:v>赣州</c:v>
                </c:pt>
                <c:pt idx="2">
                  <c:v>吉安</c:v>
                </c:pt>
                <c:pt idx="3">
                  <c:v>景德镇</c:v>
                </c:pt>
                <c:pt idx="4">
                  <c:v>九江</c:v>
                </c:pt>
                <c:pt idx="5">
                  <c:v>南昌市</c:v>
                </c:pt>
                <c:pt idx="6">
                  <c:v>萍乡</c:v>
                </c:pt>
                <c:pt idx="7">
                  <c:v>上饶市</c:v>
                </c:pt>
                <c:pt idx="8">
                  <c:v>新余</c:v>
                </c:pt>
                <c:pt idx="9">
                  <c:v>宜春</c:v>
                </c:pt>
                <c:pt idx="10">
                  <c:v>鹰潭市</c:v>
                </c:pt>
              </c:strCache>
            </c:strRef>
          </c:cat>
          <c:val>
            <c:numRef>
              <c:f>[2021年和2020基表.xlsx]Sheet6!$G$5:$G$15</c:f>
              <c:numCache>
                <c:formatCode>General</c:formatCode>
                <c:ptCount val="11"/>
                <c:pt idx="0">
                  <c:v>76</c:v>
                </c:pt>
                <c:pt idx="1">
                  <c:v>60</c:v>
                </c:pt>
                <c:pt idx="2">
                  <c:v>87</c:v>
                </c:pt>
                <c:pt idx="3">
                  <c:v>23</c:v>
                </c:pt>
                <c:pt idx="4">
                  <c:v>83</c:v>
                </c:pt>
                <c:pt idx="5">
                  <c:v>35</c:v>
                </c:pt>
                <c:pt idx="6">
                  <c:v>6</c:v>
                </c:pt>
                <c:pt idx="7">
                  <c:v>75</c:v>
                </c:pt>
                <c:pt idx="8">
                  <c:v>13</c:v>
                </c:pt>
                <c:pt idx="9">
                  <c:v>113</c:v>
                </c:pt>
                <c:pt idx="10">
                  <c:v>14</c:v>
                </c:pt>
              </c:numCache>
            </c:numRef>
          </c:val>
        </c:ser>
        <c:dLbls>
          <c:showLegendKey val="0"/>
          <c:showVal val="0"/>
          <c:showCatName val="1"/>
          <c:showSerName val="0"/>
          <c:showPercent val="1"/>
          <c:showBubbleSize val="0"/>
        </c:dLbls>
      </c:pie3DChart>
      <c:spPr>
        <a:noFill/>
        <a:ln>
          <a:noFill/>
        </a:ln>
        <a:effectLst/>
      </c:spPr>
    </c:plotArea>
    <c:plotVisOnly val="1"/>
    <c:dispBlanksAs val="gap"/>
    <c:showDLblsOverMax val="0"/>
    <c:extLst>
      <c:ext uri="{0b15fc19-7d7d-44ad-8c2d-2c3a37ce22c3}">
        <chartProps xmlns="https://web.wps.cn/et/2018/main" chartId="{9bad01a4-b2b4-4aa4-bc9c-d25985619ff3}"/>
      </c:ext>
    </c:extLst>
  </c:chart>
  <c:spPr>
    <a:solidFill>
      <a:schemeClr val="bg1"/>
    </a:solidFill>
    <a:ln w="9525" cap="flat" cmpd="sng" algn="ctr">
      <a:noFill/>
      <a:prstDash val="solid"/>
      <a:round/>
    </a:ln>
    <a:effectLst/>
  </c:spPr>
  <c:txPr>
    <a:bodyPr/>
    <a:lstStyle/>
    <a:p>
      <a:pPr>
        <a:defRPr lang="zh-CN">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644987503471258"/>
          <c:y val="0.104835572024085"/>
          <c:w val="0.518322688142183"/>
          <c:h val="0.79032885595183"/>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Pt>
            <c:idx val="3"/>
            <c:bubble3D val="0"/>
            <c:spPr>
              <a:solidFill>
                <a:schemeClr val="accent4"/>
              </a:solidFill>
              <a:ln w="25400">
                <a:solidFill>
                  <a:schemeClr val="lt1"/>
                </a:solidFill>
              </a:ln>
              <a:effectLst/>
              <a:scene3d>
                <a:camera prst="orthographicFront"/>
                <a:lightRig rig="threePt" dir="t"/>
              </a:scene3d>
              <a:sp3d contourW="25400"/>
            </c:spPr>
          </c:dPt>
          <c:dPt>
            <c:idx val="4"/>
            <c:bubble3D val="0"/>
            <c:spPr>
              <a:solidFill>
                <a:schemeClr val="accent5"/>
              </a:solidFill>
              <a:ln w="25400">
                <a:solidFill>
                  <a:schemeClr val="lt1"/>
                </a:solidFill>
              </a:ln>
              <a:effectLst/>
              <a:scene3d>
                <a:camera prst="orthographicFront"/>
                <a:lightRig rig="threePt" dir="t"/>
              </a:scene3d>
              <a:sp3d contourW="25400"/>
            </c:spPr>
          </c:dPt>
          <c:dPt>
            <c:idx val="5"/>
            <c:bubble3D val="0"/>
            <c:spPr>
              <a:solidFill>
                <a:schemeClr val="accent6"/>
              </a:solidFill>
              <a:ln w="25400">
                <a:solidFill>
                  <a:schemeClr val="lt1"/>
                </a:solidFill>
              </a:ln>
              <a:effectLst/>
              <a:scene3d>
                <a:camera prst="orthographicFront"/>
                <a:lightRig rig="threePt" dir="t"/>
              </a:scene3d>
              <a:sp3d contourW="25400"/>
            </c:spPr>
          </c:dPt>
          <c:dPt>
            <c:idx val="6"/>
            <c:bubble3D val="0"/>
            <c:spPr>
              <a:solidFill>
                <a:schemeClr val="accent1">
                  <a:lumMod val="60000"/>
                </a:schemeClr>
              </a:solidFill>
              <a:ln w="25400">
                <a:solidFill>
                  <a:schemeClr val="lt1"/>
                </a:solidFill>
              </a:ln>
              <a:effectLst/>
              <a:scene3d>
                <a:camera prst="orthographicFront"/>
                <a:lightRig rig="threePt" dir="t"/>
              </a:scene3d>
              <a:sp3d contourW="25400"/>
            </c:spPr>
          </c:dPt>
          <c:dPt>
            <c:idx val="7"/>
            <c:bubble3D val="0"/>
            <c:spPr>
              <a:solidFill>
                <a:schemeClr val="accent2">
                  <a:lumMod val="60000"/>
                </a:schemeClr>
              </a:solidFill>
              <a:ln w="25400">
                <a:solidFill>
                  <a:schemeClr val="lt1"/>
                </a:solidFill>
              </a:ln>
              <a:effectLst/>
              <a:scene3d>
                <a:camera prst="orthographicFront"/>
                <a:lightRig rig="threePt" dir="t"/>
              </a:scene3d>
              <a:sp3d contourW="25400"/>
            </c:spPr>
          </c:dPt>
          <c:dPt>
            <c:idx val="8"/>
            <c:bubble3D val="0"/>
            <c:spPr>
              <a:solidFill>
                <a:schemeClr val="accent3">
                  <a:lumMod val="60000"/>
                </a:schemeClr>
              </a:solidFill>
              <a:ln w="25400">
                <a:solidFill>
                  <a:schemeClr val="lt1"/>
                </a:solidFill>
              </a:ln>
              <a:effectLst/>
              <a:scene3d>
                <a:camera prst="orthographicFront"/>
                <a:lightRig rig="threePt" dir="t"/>
              </a:scene3d>
              <a:sp3d contourW="25400"/>
            </c:spPr>
          </c:dPt>
          <c:dLbls>
            <c:dLbl>
              <c:idx val="4"/>
              <c:layout>
                <c:manualLayout>
                  <c:x val="0"/>
                  <c:y val="-0.14401481824496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0110987791342952"/>
                  <c:y val="-0.30006946052326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cap="none" spc="0" normalizeH="0" baseline="0">
                    <a:solidFill>
                      <a:schemeClr val="tx1"/>
                    </a:solidFill>
                    <a:uFill>
                      <a:solidFill>
                        <a:schemeClr val="tx1">
                          <a:lumMod val="75000"/>
                          <a:lumOff val="25000"/>
                        </a:schemeClr>
                      </a:solidFill>
                    </a:uFill>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[2021年和2020基表.xlsx]Sheet6!$K$5:$K$13</c:f>
              <c:strCache>
                <c:ptCount val="9"/>
                <c:pt idx="0">
                  <c:v>有机化学原料制造（C2614）</c:v>
                </c:pt>
                <c:pt idx="1">
                  <c:v>其他基础化学原料制造（C2619）</c:v>
                </c:pt>
                <c:pt idx="2">
                  <c:v>农药制造(C263)</c:v>
                </c:pt>
                <c:pt idx="3">
                  <c:v>涂料制造（C2641）</c:v>
                </c:pt>
                <c:pt idx="4">
                  <c:v>染料制造（C2645）</c:v>
                </c:pt>
                <c:pt idx="5">
                  <c:v>密封用填料及类似品制造（C2646）</c:v>
                </c:pt>
                <c:pt idx="6">
                  <c:v>合成材料制造（C265）</c:v>
                </c:pt>
                <c:pt idx="7">
                  <c:v>专用化学产品制造（不含无机化学品制造）（C266）</c:v>
                </c:pt>
                <c:pt idx="8">
                  <c:v>日用化学产品制造（C268）</c:v>
                </c:pt>
              </c:strCache>
            </c:strRef>
          </c:cat>
          <c:val>
            <c:numRef>
              <c:f>[2021年和2020基表.xlsx]Sheet6!$O$5:$O$13</c:f>
              <c:numCache>
                <c:formatCode>0.00%</c:formatCode>
                <c:ptCount val="9"/>
                <c:pt idx="0">
                  <c:v>0.219628805737242</c:v>
                </c:pt>
                <c:pt idx="1">
                  <c:v>0.0249454939849707</c:v>
                </c:pt>
                <c:pt idx="2">
                  <c:v>0.464103500558894</c:v>
                </c:pt>
                <c:pt idx="3">
                  <c:v>0.0336885908120013</c:v>
                </c:pt>
                <c:pt idx="4">
                  <c:v>0.00734862821917505</c:v>
                </c:pt>
                <c:pt idx="5">
                  <c:v>4.42688446938256e-5</c:v>
                </c:pt>
                <c:pt idx="6">
                  <c:v>0.110893455958033</c:v>
                </c:pt>
                <c:pt idx="7">
                  <c:v>0.106068151886406</c:v>
                </c:pt>
                <c:pt idx="8">
                  <c:v>0.0332791039985834</c:v>
                </c:pt>
              </c:numCache>
            </c:numRef>
          </c:val>
        </c:ser>
        <c:dLbls>
          <c:showLegendKey val="0"/>
          <c:showVal val="1"/>
          <c:showCatName val="0"/>
          <c:showSerName val="0"/>
          <c:showPercent val="0"/>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7"/>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8"/>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manualLayout>
          <c:xMode val="edge"/>
          <c:yMode val="edge"/>
          <c:x val="0.641754155730534"/>
          <c:y val="0.0878456074853919"/>
          <c:w val="0.3415791776028"/>
          <c:h val="0.824308424669505"/>
        </c:manualLayout>
      </c:layout>
      <c:overlay val="0"/>
      <c:spPr>
        <a:noFill/>
        <a:ln>
          <a:noFill/>
        </a:ln>
        <a:effectLst/>
      </c:spPr>
      <c:txPr>
        <a:bodyPr rot="0" spcFirstLastPara="0"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extLst>
      <c:ext uri="{0b15fc19-7d7d-44ad-8c2d-2c3a37ce22c3}">
        <chartProps xmlns="https://web.wps.cn/et/2018/main" chartId="{9565423e-007e-4d41-b66d-28f4401d6c11}"/>
      </c:ext>
    </c:extLst>
  </c:chart>
  <c:spPr>
    <a:solidFill>
      <a:schemeClr val="bg1"/>
    </a:solidFill>
    <a:ln w="9525" cap="flat" cmpd="sng" algn="ctr">
      <a:noFill/>
      <a:prstDash val="solid"/>
      <a:round/>
    </a:ln>
    <a:effectLst/>
  </c:spPr>
  <c:txPr>
    <a:bodyPr/>
    <a:lstStyle/>
    <a:p>
      <a:pPr>
        <a:defRPr lang="zh-CN">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38F1A3-5486-4319-B5EB-70D86C61508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32</Pages>
  <Words>9283</Words>
  <Characters>10852</Characters>
  <Lines>193</Lines>
  <Paragraphs>54</Paragraphs>
  <TotalTime>2929</TotalTime>
  <ScaleCrop>false</ScaleCrop>
  <LinksUpToDate>false</LinksUpToDate>
  <CharactersWithSpaces>11053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2023-04-10T07:35:00Z</dcterms:created>
  <dc:creator>微软中国</dc:creator>
  <cp:lastModifiedBy>陈星曈</cp:lastModifiedBy>
  <cp:lastPrinted>2018-09-26T06:57:00Z</cp:lastPrinted>
  <dcterms:modified xsi:type="dcterms:W3CDTF">2025-07-03T03:11:32Z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2697CFF936BA40F0858CDBF7E8E4A2B7_13</vt:lpwstr>
  </property>
  <property fmtid="{D5CDD505-2E9C-101B-9397-08002B2CF9AE}" pid="4" name="KSOTemplateDocerSaveRecord">
    <vt:lpwstr>eyJoZGlkIjoiNzhiMjFhNjIyYzE0ZWNjMWI5NjJlODEyYTM4NmRiY2EiLCJ1c2VySWQiOiIxMjEzNjU0MDg4In0=</vt:lpwstr>
  </property>
</Properties>
</file>